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B99" w:rsidRDefault="004D7B99" w:rsidP="004D7B99">
      <w:pPr>
        <w:widowControl/>
        <w:jc w:val="left"/>
        <w:rPr>
          <w:rFonts w:ascii="宋体" w:eastAsia="宋体" w:hAnsi="宋体" w:cs="宋体" w:hint="eastAsia"/>
          <w:kern w:val="0"/>
          <w:sz w:val="24"/>
          <w:szCs w:val="24"/>
        </w:rPr>
      </w:pPr>
      <w:r w:rsidRPr="004D7B99">
        <w:rPr>
          <w:rFonts w:ascii="宋体" w:eastAsia="宋体" w:hAnsi="宋体" w:cs="宋体"/>
          <w:kern w:val="0"/>
          <w:sz w:val="24"/>
          <w:szCs w:val="24"/>
        </w:rPr>
        <w:t xml:space="preserve">医疗废物分类目录 </w:t>
      </w:r>
    </w:p>
    <w:p w:rsidR="004D7B99" w:rsidRPr="004D7B99" w:rsidRDefault="004D7B99" w:rsidP="004D7B99">
      <w:pPr>
        <w:widowControl/>
        <w:jc w:val="left"/>
        <w:rPr>
          <w:rFonts w:ascii="宋体" w:eastAsia="宋体" w:hAnsi="宋体" w:cs="宋体"/>
          <w:kern w:val="0"/>
          <w:sz w:val="24"/>
          <w:szCs w:val="24"/>
        </w:rPr>
      </w:pPr>
    </w:p>
    <w:tbl>
      <w:tblPr>
        <w:tblW w:w="0" w:type="auto"/>
        <w:jc w:val="center"/>
        <w:tblLayout w:type="fixed"/>
        <w:tblCellMar>
          <w:left w:w="0" w:type="dxa"/>
          <w:right w:w="0" w:type="dxa"/>
        </w:tblCellMar>
        <w:tblLook w:val="04A0"/>
      </w:tblPr>
      <w:tblGrid>
        <w:gridCol w:w="1080"/>
        <w:gridCol w:w="3300"/>
        <w:gridCol w:w="4620"/>
      </w:tblGrid>
      <w:tr w:rsidR="004D7B99" w:rsidRPr="004D7B99" w:rsidTr="004D7B99">
        <w:trPr>
          <w:jc w:val="center"/>
        </w:trPr>
        <w:tc>
          <w:tcPr>
            <w:tcW w:w="1080" w:type="dxa"/>
            <w:tcBorders>
              <w:top w:val="inset" w:sz="6" w:space="0" w:color="000000"/>
              <w:left w:val="inset" w:sz="6" w:space="0" w:color="000000"/>
              <w:bottom w:val="inset" w:sz="6" w:space="0" w:color="000000"/>
              <w:right w:val="inset" w:sz="6" w:space="0" w:color="000000"/>
            </w:tcBorders>
            <w:hideMark/>
          </w:tcPr>
          <w:p w:rsidR="004D7B99" w:rsidRPr="004D7B99" w:rsidRDefault="004D7B99" w:rsidP="004D7B99">
            <w:pPr>
              <w:widowControl/>
              <w:spacing w:before="100" w:after="100" w:line="330" w:lineRule="atLeast"/>
              <w:jc w:val="center"/>
              <w:rPr>
                <w:rFonts w:ascii="ˎ̥" w:eastAsia="宋体" w:hAnsi="ˎ̥" w:cs="宋体"/>
                <w:color w:val="000000"/>
                <w:kern w:val="0"/>
                <w:sz w:val="28"/>
                <w:szCs w:val="28"/>
              </w:rPr>
            </w:pPr>
            <w:r w:rsidRPr="004D7B99">
              <w:rPr>
                <w:rFonts w:ascii="ˎ̥" w:eastAsia="宋体" w:hAnsi="ˎ̥" w:cs="宋体"/>
                <w:b/>
                <w:bCs/>
                <w:color w:val="000000"/>
                <w:kern w:val="0"/>
                <w:sz w:val="28"/>
                <w:szCs w:val="28"/>
              </w:rPr>
              <w:t>类</w:t>
            </w:r>
            <w:r w:rsidRPr="004D7B99">
              <w:rPr>
                <w:rFonts w:ascii="ˎ̥" w:eastAsia="宋体" w:hAnsi="ˎ̥" w:cs="宋体"/>
                <w:b/>
                <w:bCs/>
                <w:color w:val="000000"/>
                <w:kern w:val="0"/>
                <w:sz w:val="28"/>
                <w:szCs w:val="28"/>
              </w:rPr>
              <w:t xml:space="preserve"> </w:t>
            </w:r>
            <w:r w:rsidRPr="004D7B99">
              <w:rPr>
                <w:rFonts w:ascii="ˎ̥" w:eastAsia="宋体" w:hAnsi="ˎ̥" w:cs="宋体"/>
                <w:b/>
                <w:bCs/>
                <w:color w:val="000000"/>
                <w:kern w:val="0"/>
                <w:sz w:val="28"/>
                <w:szCs w:val="28"/>
              </w:rPr>
              <w:t>别</w:t>
            </w:r>
            <w:r w:rsidRPr="004D7B99">
              <w:rPr>
                <w:rFonts w:ascii="ˎ̥" w:eastAsia="宋体" w:hAnsi="ˎ̥" w:cs="宋体"/>
                <w:color w:val="000000"/>
                <w:kern w:val="0"/>
                <w:sz w:val="28"/>
                <w:szCs w:val="28"/>
              </w:rPr>
              <w:t> </w:t>
            </w:r>
          </w:p>
        </w:tc>
        <w:tc>
          <w:tcPr>
            <w:tcW w:w="330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center"/>
              <w:rPr>
                <w:rFonts w:ascii="ˎ̥" w:eastAsia="宋体" w:hAnsi="ˎ̥" w:cs="宋体"/>
                <w:color w:val="000000"/>
                <w:kern w:val="0"/>
                <w:sz w:val="28"/>
                <w:szCs w:val="28"/>
              </w:rPr>
            </w:pPr>
            <w:r w:rsidRPr="004D7B99">
              <w:rPr>
                <w:rFonts w:ascii="ˎ̥" w:eastAsia="宋体" w:hAnsi="ˎ̥" w:cs="宋体"/>
                <w:b/>
                <w:bCs/>
                <w:color w:val="000000"/>
                <w:kern w:val="0"/>
                <w:sz w:val="28"/>
                <w:szCs w:val="28"/>
              </w:rPr>
              <w:t>特</w:t>
            </w:r>
            <w:r w:rsidRPr="004D7B99">
              <w:rPr>
                <w:rFonts w:ascii="ˎ̥" w:eastAsia="宋体" w:hAnsi="ˎ̥" w:cs="宋体"/>
                <w:b/>
                <w:bCs/>
                <w:color w:val="000000"/>
                <w:kern w:val="0"/>
                <w:sz w:val="28"/>
                <w:szCs w:val="28"/>
              </w:rPr>
              <w:t xml:space="preserve">   </w:t>
            </w:r>
            <w:r w:rsidRPr="004D7B99">
              <w:rPr>
                <w:rFonts w:ascii="宋体" w:eastAsia="宋体" w:hAnsi="宋体" w:cs="宋体"/>
                <w:b/>
                <w:bCs/>
                <w:color w:val="000000"/>
                <w:kern w:val="0"/>
                <w:sz w:val="28"/>
                <w:szCs w:val="28"/>
              </w:rPr>
              <w:t>征</w:t>
            </w:r>
            <w:r w:rsidRPr="004D7B99">
              <w:rPr>
                <w:rFonts w:ascii="ˎ̥" w:eastAsia="宋体" w:hAnsi="ˎ̥" w:cs="宋体"/>
                <w:color w:val="000000"/>
                <w:kern w:val="0"/>
                <w:sz w:val="28"/>
                <w:szCs w:val="28"/>
              </w:rPr>
              <w:t> </w:t>
            </w: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center"/>
              <w:rPr>
                <w:rFonts w:ascii="ˎ̥" w:eastAsia="宋体" w:hAnsi="ˎ̥" w:cs="宋体"/>
                <w:color w:val="000000"/>
                <w:kern w:val="0"/>
                <w:sz w:val="28"/>
                <w:szCs w:val="28"/>
              </w:rPr>
            </w:pPr>
            <w:r w:rsidRPr="004D7B99">
              <w:rPr>
                <w:rFonts w:ascii="ˎ̥" w:eastAsia="宋体" w:hAnsi="ˎ̥" w:cs="宋体"/>
                <w:b/>
                <w:bCs/>
                <w:color w:val="000000"/>
                <w:kern w:val="0"/>
                <w:sz w:val="28"/>
                <w:szCs w:val="28"/>
              </w:rPr>
              <w:t>常见组分或者废物名称</w:t>
            </w:r>
            <w:r w:rsidRPr="004D7B99">
              <w:rPr>
                <w:rFonts w:ascii="ˎ̥" w:eastAsia="宋体" w:hAnsi="ˎ̥" w:cs="宋体"/>
                <w:color w:val="000000"/>
                <w:kern w:val="0"/>
                <w:sz w:val="28"/>
                <w:szCs w:val="28"/>
              </w:rPr>
              <w:t> </w:t>
            </w:r>
          </w:p>
        </w:tc>
      </w:tr>
      <w:tr w:rsidR="004D7B99" w:rsidRPr="004D7B99" w:rsidTr="004D7B99">
        <w:trPr>
          <w:trHeight w:val="1634"/>
          <w:jc w:val="center"/>
        </w:trPr>
        <w:tc>
          <w:tcPr>
            <w:tcW w:w="1080" w:type="dxa"/>
            <w:vMerge w:val="restart"/>
            <w:tcBorders>
              <w:top w:val="nil"/>
              <w:left w:val="inset" w:sz="6" w:space="0" w:color="000000"/>
              <w:bottom w:val="inset" w:sz="6" w:space="0" w:color="000000"/>
              <w:right w:val="inset" w:sz="6" w:space="0" w:color="000000"/>
            </w:tcBorders>
            <w:hideMark/>
          </w:tcPr>
          <w:p w:rsidR="004D7B99" w:rsidRPr="004D7B99" w:rsidRDefault="004D7B99" w:rsidP="004D7B99">
            <w:pPr>
              <w:widowControl/>
              <w:spacing w:line="330" w:lineRule="atLeast"/>
              <w:jc w:val="center"/>
              <w:rPr>
                <w:rFonts w:ascii="宋体" w:eastAsia="宋体" w:hAnsi="宋体" w:cs="宋体"/>
                <w:color w:val="000000"/>
                <w:kern w:val="0"/>
                <w:sz w:val="24"/>
                <w:szCs w:val="24"/>
              </w:rPr>
            </w:pPr>
            <w:r w:rsidRPr="004D7B99">
              <w:rPr>
                <w:rFonts w:ascii="ˎ̥" w:eastAsia="宋体" w:hAnsi="ˎ̥" w:cs="宋体"/>
                <w:color w:val="000000"/>
                <w:kern w:val="0"/>
                <w:sz w:val="24"/>
                <w:szCs w:val="24"/>
              </w:rPr>
              <w:t> </w:t>
            </w:r>
          </w:p>
          <w:p w:rsidR="004D7B99" w:rsidRPr="004D7B99" w:rsidRDefault="004D7B99" w:rsidP="004D7B99">
            <w:pPr>
              <w:widowControl/>
              <w:spacing w:line="330" w:lineRule="atLeast"/>
              <w:jc w:val="center"/>
              <w:rPr>
                <w:rFonts w:ascii="宋体" w:eastAsia="宋体" w:hAnsi="宋体" w:cs="宋体" w:hint="eastAsia"/>
                <w:color w:val="000000"/>
                <w:kern w:val="0"/>
                <w:sz w:val="24"/>
                <w:szCs w:val="24"/>
              </w:rPr>
            </w:pPr>
          </w:p>
          <w:p w:rsidR="004D7B99" w:rsidRPr="004D7B99" w:rsidRDefault="004D7B99" w:rsidP="004D7B99">
            <w:pPr>
              <w:widowControl/>
              <w:spacing w:line="330" w:lineRule="atLeast"/>
              <w:jc w:val="center"/>
              <w:rPr>
                <w:rFonts w:ascii="宋体" w:eastAsia="宋体" w:hAnsi="宋体" w:cs="宋体" w:hint="eastAsia"/>
                <w:color w:val="000000"/>
                <w:kern w:val="0"/>
                <w:sz w:val="24"/>
                <w:szCs w:val="24"/>
              </w:rPr>
            </w:pPr>
          </w:p>
          <w:p w:rsidR="004D7B99" w:rsidRPr="004D7B99" w:rsidRDefault="004D7B99" w:rsidP="004D7B99">
            <w:pPr>
              <w:widowControl/>
              <w:spacing w:line="330" w:lineRule="atLeast"/>
              <w:jc w:val="center"/>
              <w:rPr>
                <w:rFonts w:ascii="ˎ̥" w:eastAsia="宋体" w:hAnsi="ˎ̥" w:cs="宋体" w:hint="eastAsia"/>
                <w:color w:val="000000"/>
                <w:kern w:val="0"/>
                <w:sz w:val="24"/>
                <w:szCs w:val="24"/>
              </w:rPr>
            </w:pPr>
            <w:r w:rsidRPr="004D7B99">
              <w:rPr>
                <w:rFonts w:ascii="ˎ̥" w:eastAsia="宋体" w:hAnsi="ˎ̥" w:cs="宋体"/>
                <w:b/>
                <w:bCs/>
                <w:color w:val="000000"/>
                <w:kern w:val="0"/>
                <w:sz w:val="24"/>
                <w:szCs w:val="24"/>
              </w:rPr>
              <w:t>感</w:t>
            </w:r>
            <w:r w:rsidRPr="004D7B99">
              <w:rPr>
                <w:rFonts w:ascii="ˎ̥" w:eastAsia="宋体" w:hAnsi="ˎ̥" w:cs="宋体"/>
                <w:color w:val="000000"/>
                <w:kern w:val="0"/>
                <w:sz w:val="24"/>
                <w:szCs w:val="24"/>
              </w:rPr>
              <w:t> </w:t>
            </w:r>
          </w:p>
          <w:p w:rsidR="004D7B99" w:rsidRPr="004D7B99" w:rsidRDefault="004D7B99" w:rsidP="004D7B99">
            <w:pPr>
              <w:widowControl/>
              <w:spacing w:line="330" w:lineRule="atLeast"/>
              <w:jc w:val="center"/>
              <w:rPr>
                <w:rFonts w:ascii="ˎ̥" w:eastAsia="宋体" w:hAnsi="ˎ̥" w:cs="宋体"/>
                <w:color w:val="000000"/>
                <w:kern w:val="0"/>
                <w:sz w:val="24"/>
                <w:szCs w:val="24"/>
              </w:rPr>
            </w:pPr>
            <w:r w:rsidRPr="004D7B99">
              <w:rPr>
                <w:rFonts w:ascii="ˎ̥" w:eastAsia="宋体" w:hAnsi="ˎ̥" w:cs="宋体"/>
                <w:b/>
                <w:bCs/>
                <w:color w:val="000000"/>
                <w:kern w:val="0"/>
                <w:sz w:val="24"/>
                <w:szCs w:val="24"/>
              </w:rPr>
              <w:t>染</w:t>
            </w:r>
            <w:r w:rsidRPr="004D7B99">
              <w:rPr>
                <w:rFonts w:ascii="ˎ̥" w:eastAsia="宋体" w:hAnsi="ˎ̥" w:cs="宋体"/>
                <w:color w:val="000000"/>
                <w:kern w:val="0"/>
                <w:sz w:val="24"/>
                <w:szCs w:val="24"/>
              </w:rPr>
              <w:t> </w:t>
            </w:r>
          </w:p>
          <w:p w:rsidR="004D7B99" w:rsidRPr="004D7B99" w:rsidRDefault="004D7B99" w:rsidP="004D7B99">
            <w:pPr>
              <w:widowControl/>
              <w:spacing w:line="330" w:lineRule="atLeast"/>
              <w:jc w:val="center"/>
              <w:rPr>
                <w:rFonts w:ascii="ˎ̥" w:eastAsia="宋体" w:hAnsi="ˎ̥" w:cs="宋体"/>
                <w:color w:val="000000"/>
                <w:kern w:val="0"/>
                <w:sz w:val="24"/>
                <w:szCs w:val="24"/>
              </w:rPr>
            </w:pPr>
            <w:r w:rsidRPr="004D7B99">
              <w:rPr>
                <w:rFonts w:ascii="ˎ̥" w:eastAsia="宋体" w:hAnsi="ˎ̥" w:cs="宋体"/>
                <w:b/>
                <w:bCs/>
                <w:color w:val="000000"/>
                <w:kern w:val="0"/>
                <w:sz w:val="24"/>
                <w:szCs w:val="24"/>
              </w:rPr>
              <w:t>性</w:t>
            </w:r>
            <w:r w:rsidRPr="004D7B99">
              <w:rPr>
                <w:rFonts w:ascii="ˎ̥" w:eastAsia="宋体" w:hAnsi="ˎ̥" w:cs="宋体"/>
                <w:color w:val="000000"/>
                <w:kern w:val="0"/>
                <w:sz w:val="24"/>
                <w:szCs w:val="24"/>
              </w:rPr>
              <w:t> </w:t>
            </w:r>
          </w:p>
          <w:p w:rsidR="004D7B99" w:rsidRPr="004D7B99" w:rsidRDefault="004D7B99" w:rsidP="004D7B99">
            <w:pPr>
              <w:widowControl/>
              <w:spacing w:line="330" w:lineRule="atLeast"/>
              <w:jc w:val="center"/>
              <w:rPr>
                <w:rFonts w:ascii="ˎ̥" w:eastAsia="宋体" w:hAnsi="ˎ̥" w:cs="宋体"/>
                <w:color w:val="000000"/>
                <w:kern w:val="0"/>
                <w:sz w:val="24"/>
                <w:szCs w:val="24"/>
              </w:rPr>
            </w:pPr>
            <w:r w:rsidRPr="004D7B99">
              <w:rPr>
                <w:rFonts w:ascii="ˎ̥" w:eastAsia="宋体" w:hAnsi="ˎ̥" w:cs="宋体"/>
                <w:b/>
                <w:bCs/>
                <w:color w:val="000000"/>
                <w:kern w:val="0"/>
                <w:sz w:val="24"/>
                <w:szCs w:val="24"/>
              </w:rPr>
              <w:t>废</w:t>
            </w:r>
            <w:r w:rsidRPr="004D7B99">
              <w:rPr>
                <w:rFonts w:ascii="ˎ̥" w:eastAsia="宋体" w:hAnsi="ˎ̥" w:cs="宋体"/>
                <w:color w:val="000000"/>
                <w:kern w:val="0"/>
                <w:sz w:val="24"/>
                <w:szCs w:val="24"/>
              </w:rPr>
              <w:t> </w:t>
            </w:r>
          </w:p>
          <w:p w:rsidR="004D7B99" w:rsidRPr="004D7B99" w:rsidRDefault="004D7B99" w:rsidP="004D7B99">
            <w:pPr>
              <w:widowControl/>
              <w:spacing w:line="330" w:lineRule="atLeast"/>
              <w:jc w:val="center"/>
              <w:rPr>
                <w:rFonts w:ascii="ˎ̥" w:eastAsia="宋体" w:hAnsi="ˎ̥" w:cs="宋体"/>
                <w:color w:val="000000"/>
                <w:kern w:val="0"/>
                <w:sz w:val="24"/>
                <w:szCs w:val="24"/>
              </w:rPr>
            </w:pPr>
            <w:r w:rsidRPr="004D7B99">
              <w:rPr>
                <w:rFonts w:ascii="ˎ̥" w:eastAsia="宋体" w:hAnsi="ˎ̥" w:cs="宋体"/>
                <w:b/>
                <w:bCs/>
                <w:color w:val="000000"/>
                <w:kern w:val="0"/>
                <w:sz w:val="24"/>
                <w:szCs w:val="24"/>
              </w:rPr>
              <w:t>物</w:t>
            </w:r>
            <w:r w:rsidRPr="004D7B99">
              <w:rPr>
                <w:rFonts w:ascii="ˎ̥" w:eastAsia="宋体" w:hAnsi="ˎ̥" w:cs="宋体"/>
                <w:color w:val="000000"/>
                <w:kern w:val="0"/>
                <w:sz w:val="24"/>
                <w:szCs w:val="24"/>
              </w:rPr>
              <w:t> </w:t>
            </w:r>
          </w:p>
        </w:tc>
        <w:tc>
          <w:tcPr>
            <w:tcW w:w="3300" w:type="dxa"/>
            <w:vMerge w:val="restart"/>
            <w:tcBorders>
              <w:top w:val="nil"/>
              <w:left w:val="nil"/>
              <w:bottom w:val="inset" w:sz="6" w:space="0" w:color="000000"/>
              <w:right w:val="inset" w:sz="6" w:space="0" w:color="000000"/>
            </w:tcBorders>
            <w:hideMark/>
          </w:tcPr>
          <w:p w:rsidR="004D7B99" w:rsidRPr="004D7B99" w:rsidRDefault="004D7B99" w:rsidP="004D7B99">
            <w:pPr>
              <w:widowControl/>
              <w:spacing w:line="330" w:lineRule="atLeast"/>
              <w:jc w:val="left"/>
              <w:rPr>
                <w:rFonts w:ascii="宋体" w:eastAsia="宋体" w:hAnsi="宋体" w:cs="宋体"/>
                <w:color w:val="000000"/>
                <w:kern w:val="0"/>
                <w:szCs w:val="21"/>
              </w:rPr>
            </w:pPr>
            <w:r w:rsidRPr="004D7B99">
              <w:rPr>
                <w:rFonts w:ascii="ˎ̥" w:eastAsia="宋体" w:hAnsi="ˎ̥" w:cs="宋体"/>
                <w:color w:val="000000"/>
                <w:kern w:val="0"/>
                <w:szCs w:val="21"/>
              </w:rPr>
              <w:t xml:space="preserve">  </w:t>
            </w:r>
          </w:p>
          <w:p w:rsidR="004D7B99" w:rsidRPr="004D7B99" w:rsidRDefault="004D7B99" w:rsidP="004D7B99">
            <w:pPr>
              <w:widowControl/>
              <w:spacing w:line="330" w:lineRule="atLeast"/>
              <w:jc w:val="left"/>
              <w:rPr>
                <w:rFonts w:ascii="宋体" w:eastAsia="宋体" w:hAnsi="宋体" w:cs="宋体" w:hint="eastAsia"/>
                <w:color w:val="000000"/>
                <w:kern w:val="0"/>
                <w:szCs w:val="21"/>
              </w:rPr>
            </w:pPr>
          </w:p>
          <w:p w:rsidR="004D7B99" w:rsidRPr="004D7B99" w:rsidRDefault="004D7B99" w:rsidP="004D7B99">
            <w:pPr>
              <w:widowControl/>
              <w:spacing w:line="330" w:lineRule="atLeast"/>
              <w:jc w:val="left"/>
              <w:rPr>
                <w:rFonts w:ascii="宋体" w:eastAsia="宋体" w:hAnsi="宋体" w:cs="宋体" w:hint="eastAsia"/>
                <w:color w:val="000000"/>
                <w:kern w:val="0"/>
                <w:szCs w:val="21"/>
              </w:rPr>
            </w:pPr>
          </w:p>
          <w:p w:rsidR="004D7B99" w:rsidRPr="004D7B99" w:rsidRDefault="004D7B99" w:rsidP="004D7B99">
            <w:pPr>
              <w:widowControl/>
              <w:spacing w:line="330" w:lineRule="atLeast"/>
              <w:jc w:val="left"/>
              <w:rPr>
                <w:rFonts w:ascii="宋体" w:eastAsia="宋体" w:hAnsi="宋体" w:cs="宋体" w:hint="eastAsia"/>
                <w:color w:val="000000"/>
                <w:kern w:val="0"/>
                <w:szCs w:val="21"/>
              </w:rPr>
            </w:pPr>
          </w:p>
          <w:p w:rsidR="004D7B99" w:rsidRPr="004D7B99" w:rsidRDefault="004D7B99" w:rsidP="004D7B99">
            <w:pPr>
              <w:widowControl/>
              <w:spacing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携带病原微生物具有引发感染性疾病传播危险的医疗废物。 </w:t>
            </w: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line="24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1、被病人血液、体液、排泄物污染的物品，包括： </w:t>
            </w:r>
          </w:p>
          <w:p w:rsidR="004D7B99" w:rsidRPr="004D7B99" w:rsidRDefault="004D7B99" w:rsidP="004D7B99">
            <w:pPr>
              <w:widowControl/>
              <w:spacing w:line="240" w:lineRule="atLeast"/>
              <w:jc w:val="left"/>
              <w:rPr>
                <w:rFonts w:ascii="仿宋_GB2312" w:eastAsia="仿宋_GB2312" w:hAnsi="宋体" w:cs="宋体" w:hint="eastAsia"/>
                <w:color w:val="000000"/>
                <w:kern w:val="0"/>
                <w:szCs w:val="21"/>
              </w:rPr>
            </w:pPr>
            <w:r w:rsidRPr="004D7B99">
              <w:rPr>
                <w:rFonts w:ascii="仿宋_GB2312" w:eastAsia="仿宋_GB2312" w:hAnsi="宋体" w:cs="宋体" w:hint="eastAsia"/>
                <w:color w:val="000000"/>
                <w:kern w:val="0"/>
                <w:szCs w:val="21"/>
              </w:rPr>
              <w:t xml:space="preserve">--—棉球、棉签、引流棉条、纱布及其他各种敷料; </w:t>
            </w:r>
          </w:p>
          <w:p w:rsidR="004D7B99" w:rsidRPr="004D7B99" w:rsidRDefault="004D7B99" w:rsidP="004D7B99">
            <w:pPr>
              <w:widowControl/>
              <w:spacing w:line="240" w:lineRule="atLeast"/>
              <w:jc w:val="left"/>
              <w:rPr>
                <w:rFonts w:ascii="仿宋_GB2312" w:eastAsia="仿宋_GB2312" w:hAnsi="宋体" w:cs="宋体" w:hint="eastAsia"/>
                <w:color w:val="000000"/>
                <w:kern w:val="0"/>
                <w:szCs w:val="21"/>
              </w:rPr>
            </w:pPr>
            <w:r w:rsidRPr="004D7B99">
              <w:rPr>
                <w:rFonts w:ascii="仿宋_GB2312" w:eastAsia="仿宋_GB2312" w:hAnsi="宋体" w:cs="宋体" w:hint="eastAsia"/>
                <w:color w:val="000000"/>
                <w:kern w:val="0"/>
                <w:szCs w:val="21"/>
              </w:rPr>
              <w:t xml:space="preserve">——一次性使用卫生用品、一次性使用医疗用品及一次性医疗器械; </w:t>
            </w:r>
          </w:p>
          <w:p w:rsidR="004D7B99" w:rsidRPr="004D7B99" w:rsidRDefault="004D7B99" w:rsidP="004D7B99">
            <w:pPr>
              <w:widowControl/>
              <w:spacing w:line="240" w:lineRule="atLeast"/>
              <w:jc w:val="left"/>
              <w:rPr>
                <w:rFonts w:ascii="仿宋_GB2312" w:eastAsia="仿宋_GB2312" w:hAnsi="宋体" w:cs="宋体" w:hint="eastAsia"/>
                <w:color w:val="000000"/>
                <w:kern w:val="0"/>
                <w:szCs w:val="21"/>
              </w:rPr>
            </w:pPr>
            <w:r w:rsidRPr="004D7B99">
              <w:rPr>
                <w:rFonts w:ascii="仿宋_GB2312" w:eastAsia="仿宋_GB2312" w:hAnsi="宋体" w:cs="宋体" w:hint="eastAsia"/>
                <w:color w:val="000000"/>
                <w:kern w:val="0"/>
                <w:szCs w:val="21"/>
              </w:rPr>
              <w:t xml:space="preserve">--—废弃的被服; </w:t>
            </w:r>
          </w:p>
          <w:p w:rsidR="004D7B99" w:rsidRPr="004D7B99" w:rsidRDefault="004D7B99" w:rsidP="004D7B99">
            <w:pPr>
              <w:widowControl/>
              <w:spacing w:line="24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——其他被病人血液、体液、排泄物污染的物品。 </w:t>
            </w:r>
          </w:p>
        </w:tc>
      </w:tr>
      <w:tr w:rsidR="004D7B99" w:rsidRPr="004D7B99" w:rsidTr="004D7B99">
        <w:trPr>
          <w:trHeight w:val="749"/>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2、医疗机构收治的隔离传染病病人或者疑似传染病病人产生的生活垃圾。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3、病原体的培养基、标本和菌种、毒种保存液。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4、各种废弃的医学标本。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5、废弃的血液、血清。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6、使用后的一次性使用医疗用品及一次性医疗器械视为感染性废物。 </w:t>
            </w:r>
          </w:p>
        </w:tc>
      </w:tr>
      <w:tr w:rsidR="004D7B99" w:rsidRPr="004D7B99" w:rsidTr="004D7B99">
        <w:trPr>
          <w:jc w:val="center"/>
        </w:trPr>
        <w:tc>
          <w:tcPr>
            <w:tcW w:w="1080" w:type="dxa"/>
            <w:vMerge w:val="restart"/>
            <w:tcBorders>
              <w:top w:val="nil"/>
              <w:left w:val="inset" w:sz="6" w:space="0" w:color="000000"/>
              <w:bottom w:val="inset" w:sz="6" w:space="0" w:color="000000"/>
              <w:right w:val="inset" w:sz="6" w:space="0" w:color="000000"/>
            </w:tcBorders>
            <w:hideMark/>
          </w:tcPr>
          <w:p w:rsidR="004D7B99" w:rsidRPr="004D7B99" w:rsidRDefault="004D7B99" w:rsidP="004D7B99">
            <w:pPr>
              <w:widowControl/>
              <w:spacing w:line="330" w:lineRule="atLeast"/>
              <w:jc w:val="center"/>
              <w:rPr>
                <w:rFonts w:ascii="宋体" w:eastAsia="宋体" w:hAnsi="宋体" w:cs="宋体"/>
                <w:b/>
                <w:bCs/>
                <w:color w:val="000000"/>
                <w:kern w:val="0"/>
                <w:sz w:val="24"/>
                <w:szCs w:val="24"/>
              </w:rPr>
            </w:pPr>
          </w:p>
          <w:p w:rsidR="004D7B99" w:rsidRPr="004D7B99" w:rsidRDefault="004D7B99" w:rsidP="004D7B99">
            <w:pPr>
              <w:widowControl/>
              <w:spacing w:line="330" w:lineRule="atLeast"/>
              <w:jc w:val="center"/>
              <w:rPr>
                <w:rFonts w:ascii="宋体" w:eastAsia="宋体" w:hAnsi="宋体" w:cs="宋体" w:hint="eastAsia"/>
                <w:b/>
                <w:bCs/>
                <w:color w:val="000000"/>
                <w:kern w:val="0"/>
                <w:sz w:val="24"/>
                <w:szCs w:val="24"/>
              </w:rPr>
            </w:pPr>
            <w:r w:rsidRPr="004D7B99">
              <w:rPr>
                <w:rFonts w:ascii="ˎ̥" w:eastAsia="宋体" w:hAnsi="ˎ̥" w:cs="宋体"/>
                <w:b/>
                <w:bCs/>
                <w:color w:val="000000"/>
                <w:kern w:val="0"/>
                <w:sz w:val="24"/>
                <w:szCs w:val="24"/>
              </w:rPr>
              <w:t>病理性</w:t>
            </w:r>
          </w:p>
          <w:p w:rsidR="004D7B99" w:rsidRPr="004D7B99" w:rsidRDefault="004D7B99" w:rsidP="004D7B99">
            <w:pPr>
              <w:widowControl/>
              <w:spacing w:line="330" w:lineRule="atLeast"/>
              <w:jc w:val="center"/>
              <w:rPr>
                <w:rFonts w:ascii="ˎ̥" w:eastAsia="宋体" w:hAnsi="ˎ̥" w:cs="宋体"/>
                <w:color w:val="000000"/>
                <w:kern w:val="0"/>
                <w:sz w:val="24"/>
                <w:szCs w:val="24"/>
              </w:rPr>
            </w:pPr>
            <w:r w:rsidRPr="004D7B99">
              <w:rPr>
                <w:rFonts w:ascii="ˎ̥" w:eastAsia="宋体" w:hAnsi="ˎ̥" w:cs="宋体"/>
                <w:b/>
                <w:bCs/>
                <w:color w:val="000000"/>
                <w:kern w:val="0"/>
                <w:sz w:val="24"/>
                <w:szCs w:val="24"/>
              </w:rPr>
              <w:t>废物</w:t>
            </w:r>
            <w:r w:rsidRPr="004D7B99">
              <w:rPr>
                <w:rFonts w:ascii="ˎ̥" w:eastAsia="宋体" w:hAnsi="ˎ̥" w:cs="宋体"/>
                <w:color w:val="000000"/>
                <w:kern w:val="0"/>
                <w:sz w:val="24"/>
                <w:szCs w:val="24"/>
              </w:rPr>
              <w:t> </w:t>
            </w:r>
          </w:p>
        </w:tc>
        <w:tc>
          <w:tcPr>
            <w:tcW w:w="3300" w:type="dxa"/>
            <w:vMerge w:val="restart"/>
            <w:tcBorders>
              <w:top w:val="nil"/>
              <w:left w:val="nil"/>
              <w:bottom w:val="inset" w:sz="6" w:space="0" w:color="000000"/>
              <w:right w:val="inset" w:sz="6" w:space="0" w:color="000000"/>
            </w:tcBorders>
            <w:hideMark/>
          </w:tcPr>
          <w:p w:rsidR="004D7B99" w:rsidRPr="004D7B99" w:rsidRDefault="004D7B99" w:rsidP="004D7B99">
            <w:pPr>
              <w:widowControl/>
              <w:spacing w:line="330" w:lineRule="atLeast"/>
              <w:jc w:val="left"/>
              <w:rPr>
                <w:rFonts w:ascii="宋体" w:eastAsia="宋体" w:hAnsi="宋体" w:cs="宋体"/>
                <w:color w:val="000000"/>
                <w:kern w:val="0"/>
                <w:szCs w:val="21"/>
              </w:rPr>
            </w:pPr>
            <w:r w:rsidRPr="004D7B99">
              <w:rPr>
                <w:rFonts w:ascii="ˎ̥" w:eastAsia="宋体" w:hAnsi="ˎ̥" w:cs="宋体"/>
                <w:color w:val="000000"/>
                <w:kern w:val="0"/>
                <w:szCs w:val="21"/>
              </w:rPr>
              <w:t> </w:t>
            </w:r>
          </w:p>
          <w:p w:rsidR="004D7B99" w:rsidRPr="004D7B99" w:rsidRDefault="004D7B99" w:rsidP="004D7B99">
            <w:pPr>
              <w:widowControl/>
              <w:spacing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诊疗过程中产生的人体废弃物和医学实验动物尸体等。 </w:t>
            </w: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1、手术及其他诊疗过程中产生的废弃的人体组织、器官等。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2、医学实验动物的组织、尸体。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ˎ̥" w:eastAsia="宋体" w:hAnsi="ˎ̥" w:cs="宋体"/>
                <w:color w:val="000000"/>
                <w:kern w:val="0"/>
                <w:szCs w:val="21"/>
              </w:rPr>
            </w:pPr>
            <w:r w:rsidRPr="004D7B99">
              <w:rPr>
                <w:rFonts w:ascii="仿宋_GB2312" w:eastAsia="仿宋_GB2312" w:hAnsi="ˎ̥" w:cs="宋体" w:hint="eastAsia"/>
                <w:color w:val="000000"/>
                <w:kern w:val="0"/>
                <w:szCs w:val="21"/>
              </w:rPr>
              <w:t>3、病理切片后废弃的人体组织、病理腊块等。</w:t>
            </w:r>
            <w:r w:rsidRPr="004D7B99">
              <w:rPr>
                <w:rFonts w:ascii="宋体" w:eastAsia="宋体" w:hAnsi="宋体" w:cs="宋体"/>
                <w:color w:val="000000"/>
                <w:kern w:val="0"/>
                <w:szCs w:val="21"/>
              </w:rPr>
              <w:t xml:space="preserve"> </w:t>
            </w:r>
          </w:p>
        </w:tc>
      </w:tr>
      <w:tr w:rsidR="004D7B99" w:rsidRPr="004D7B99" w:rsidTr="004D7B99">
        <w:trPr>
          <w:jc w:val="center"/>
        </w:trPr>
        <w:tc>
          <w:tcPr>
            <w:tcW w:w="1080" w:type="dxa"/>
            <w:vMerge w:val="restart"/>
            <w:tcBorders>
              <w:top w:val="nil"/>
              <w:left w:val="inset" w:sz="6" w:space="0" w:color="000000"/>
              <w:bottom w:val="inset" w:sz="6" w:space="0" w:color="000000"/>
              <w:right w:val="inset" w:sz="6" w:space="0" w:color="000000"/>
            </w:tcBorders>
            <w:hideMark/>
          </w:tcPr>
          <w:p w:rsidR="004D7B99" w:rsidRPr="004D7B99" w:rsidRDefault="004D7B99" w:rsidP="004D7B99">
            <w:pPr>
              <w:widowControl/>
              <w:spacing w:line="330" w:lineRule="atLeast"/>
              <w:jc w:val="center"/>
              <w:rPr>
                <w:rFonts w:ascii="宋体" w:eastAsia="宋体" w:hAnsi="宋体" w:cs="宋体"/>
                <w:b/>
                <w:bCs/>
                <w:color w:val="000000"/>
                <w:kern w:val="0"/>
                <w:sz w:val="24"/>
                <w:szCs w:val="24"/>
              </w:rPr>
            </w:pPr>
          </w:p>
          <w:p w:rsidR="004D7B99" w:rsidRPr="004D7B99" w:rsidRDefault="004D7B99" w:rsidP="004D7B99">
            <w:pPr>
              <w:widowControl/>
              <w:spacing w:line="330" w:lineRule="atLeast"/>
              <w:jc w:val="center"/>
              <w:rPr>
                <w:rFonts w:ascii="宋体" w:eastAsia="宋体" w:hAnsi="宋体" w:cs="宋体" w:hint="eastAsia"/>
                <w:b/>
                <w:bCs/>
                <w:color w:val="000000"/>
                <w:kern w:val="0"/>
                <w:sz w:val="24"/>
                <w:szCs w:val="24"/>
              </w:rPr>
            </w:pPr>
            <w:r w:rsidRPr="004D7B99">
              <w:rPr>
                <w:rFonts w:ascii="ˎ̥" w:eastAsia="宋体" w:hAnsi="ˎ̥" w:cs="宋体"/>
                <w:b/>
                <w:bCs/>
                <w:color w:val="000000"/>
                <w:kern w:val="0"/>
                <w:sz w:val="24"/>
                <w:szCs w:val="24"/>
              </w:rPr>
              <w:t>损伤性</w:t>
            </w:r>
          </w:p>
          <w:p w:rsidR="004D7B99" w:rsidRPr="004D7B99" w:rsidRDefault="004D7B99" w:rsidP="004D7B99">
            <w:pPr>
              <w:widowControl/>
              <w:spacing w:line="330" w:lineRule="atLeast"/>
              <w:jc w:val="center"/>
              <w:rPr>
                <w:rFonts w:ascii="ˎ̥" w:eastAsia="宋体" w:hAnsi="ˎ̥" w:cs="宋体"/>
                <w:color w:val="000000"/>
                <w:kern w:val="0"/>
                <w:sz w:val="24"/>
                <w:szCs w:val="24"/>
              </w:rPr>
            </w:pPr>
            <w:r w:rsidRPr="004D7B99">
              <w:rPr>
                <w:rFonts w:ascii="ˎ̥" w:eastAsia="宋体" w:hAnsi="ˎ̥" w:cs="宋体"/>
                <w:b/>
                <w:bCs/>
                <w:color w:val="000000"/>
                <w:kern w:val="0"/>
                <w:sz w:val="24"/>
                <w:szCs w:val="24"/>
              </w:rPr>
              <w:t>废</w:t>
            </w:r>
            <w:r w:rsidRPr="004D7B99">
              <w:rPr>
                <w:rFonts w:ascii="ˎ̥" w:eastAsia="宋体" w:hAnsi="ˎ̥" w:cs="宋体"/>
                <w:b/>
                <w:bCs/>
                <w:color w:val="000000"/>
                <w:kern w:val="0"/>
                <w:sz w:val="24"/>
                <w:szCs w:val="24"/>
              </w:rPr>
              <w:t xml:space="preserve"> </w:t>
            </w:r>
            <w:r w:rsidRPr="004D7B99">
              <w:rPr>
                <w:rFonts w:ascii="ˎ̥" w:eastAsia="宋体" w:hAnsi="ˎ̥" w:cs="宋体"/>
                <w:b/>
                <w:bCs/>
                <w:color w:val="000000"/>
                <w:kern w:val="0"/>
                <w:sz w:val="24"/>
                <w:szCs w:val="24"/>
              </w:rPr>
              <w:t>物</w:t>
            </w:r>
            <w:r w:rsidRPr="004D7B99">
              <w:rPr>
                <w:rFonts w:ascii="ˎ̥" w:eastAsia="宋体" w:hAnsi="ˎ̥" w:cs="宋体"/>
                <w:color w:val="000000"/>
                <w:kern w:val="0"/>
                <w:sz w:val="24"/>
                <w:szCs w:val="24"/>
              </w:rPr>
              <w:t> </w:t>
            </w:r>
          </w:p>
        </w:tc>
        <w:tc>
          <w:tcPr>
            <w:tcW w:w="3300" w:type="dxa"/>
            <w:vMerge w:val="restart"/>
            <w:tcBorders>
              <w:top w:val="nil"/>
              <w:left w:val="nil"/>
              <w:bottom w:val="inset" w:sz="6" w:space="0" w:color="000000"/>
              <w:right w:val="inset" w:sz="6" w:space="0" w:color="000000"/>
            </w:tcBorders>
            <w:hideMark/>
          </w:tcPr>
          <w:p w:rsidR="004D7B99" w:rsidRPr="004D7B99" w:rsidRDefault="004D7B99" w:rsidP="004D7B99">
            <w:pPr>
              <w:widowControl/>
              <w:spacing w:line="330" w:lineRule="atLeast"/>
              <w:jc w:val="left"/>
              <w:rPr>
                <w:rFonts w:ascii="宋体" w:eastAsia="宋体" w:hAnsi="宋体" w:cs="宋体"/>
                <w:color w:val="000000"/>
                <w:kern w:val="0"/>
                <w:szCs w:val="21"/>
              </w:rPr>
            </w:pPr>
            <w:r w:rsidRPr="004D7B99">
              <w:rPr>
                <w:rFonts w:ascii="ˎ̥" w:eastAsia="宋体" w:hAnsi="ˎ̥" w:cs="宋体"/>
                <w:color w:val="000000"/>
                <w:kern w:val="0"/>
                <w:szCs w:val="21"/>
              </w:rPr>
              <w:t> </w:t>
            </w:r>
          </w:p>
          <w:p w:rsidR="004D7B99" w:rsidRPr="004D7B99" w:rsidRDefault="004D7B99" w:rsidP="004D7B99">
            <w:pPr>
              <w:widowControl/>
              <w:spacing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能够刺伤或者割伤人体的废弃的医用锐器。 </w:t>
            </w: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1、医用针头、缝合针。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2、各类医用锐器，包括：解剖刀、手术刀、备皮刀、手术锯等。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3、载玻片、玻璃试管、玻璃安瓿等。 </w:t>
            </w:r>
          </w:p>
        </w:tc>
      </w:tr>
      <w:tr w:rsidR="004D7B99" w:rsidRPr="004D7B99" w:rsidTr="004D7B99">
        <w:trPr>
          <w:jc w:val="center"/>
        </w:trPr>
        <w:tc>
          <w:tcPr>
            <w:tcW w:w="1080" w:type="dxa"/>
            <w:vMerge w:val="restart"/>
            <w:tcBorders>
              <w:top w:val="nil"/>
              <w:left w:val="inset" w:sz="6" w:space="0" w:color="000000"/>
              <w:bottom w:val="inset" w:sz="6" w:space="0" w:color="000000"/>
              <w:right w:val="inset" w:sz="6" w:space="0" w:color="000000"/>
            </w:tcBorders>
            <w:hideMark/>
          </w:tcPr>
          <w:p w:rsidR="004D7B99" w:rsidRPr="004D7B99" w:rsidRDefault="004D7B99" w:rsidP="004D7B99">
            <w:pPr>
              <w:widowControl/>
              <w:spacing w:line="330" w:lineRule="atLeast"/>
              <w:jc w:val="center"/>
              <w:rPr>
                <w:rFonts w:ascii="宋体" w:eastAsia="宋体" w:hAnsi="宋体" w:cs="宋体"/>
                <w:b/>
                <w:bCs/>
                <w:color w:val="000000"/>
                <w:kern w:val="0"/>
                <w:sz w:val="24"/>
                <w:szCs w:val="24"/>
              </w:rPr>
            </w:pPr>
            <w:r w:rsidRPr="004D7B99">
              <w:rPr>
                <w:rFonts w:ascii="ˎ̥" w:eastAsia="宋体" w:hAnsi="ˎ̥" w:cs="宋体"/>
                <w:b/>
                <w:bCs/>
                <w:color w:val="000000"/>
                <w:kern w:val="0"/>
                <w:sz w:val="24"/>
                <w:szCs w:val="24"/>
              </w:rPr>
              <w:t> </w:t>
            </w:r>
          </w:p>
          <w:p w:rsidR="004D7B99" w:rsidRPr="004D7B99" w:rsidRDefault="004D7B99" w:rsidP="004D7B99">
            <w:pPr>
              <w:widowControl/>
              <w:spacing w:line="330" w:lineRule="atLeast"/>
              <w:jc w:val="center"/>
              <w:rPr>
                <w:rFonts w:ascii="宋体" w:eastAsia="宋体" w:hAnsi="宋体" w:cs="宋体" w:hint="eastAsia"/>
                <w:color w:val="000000"/>
                <w:kern w:val="0"/>
                <w:sz w:val="24"/>
                <w:szCs w:val="24"/>
              </w:rPr>
            </w:pPr>
          </w:p>
          <w:p w:rsidR="004D7B99" w:rsidRPr="004D7B99" w:rsidRDefault="004D7B99" w:rsidP="004D7B99">
            <w:pPr>
              <w:widowControl/>
              <w:spacing w:line="330" w:lineRule="atLeast"/>
              <w:jc w:val="center"/>
              <w:rPr>
                <w:rFonts w:ascii="宋体" w:eastAsia="宋体" w:hAnsi="宋体" w:cs="宋体" w:hint="eastAsia"/>
                <w:b/>
                <w:bCs/>
                <w:color w:val="000000"/>
                <w:kern w:val="0"/>
                <w:sz w:val="24"/>
                <w:szCs w:val="24"/>
              </w:rPr>
            </w:pPr>
            <w:r w:rsidRPr="004D7B99">
              <w:rPr>
                <w:rFonts w:ascii="ˎ̥" w:eastAsia="宋体" w:hAnsi="ˎ̥" w:cs="宋体"/>
                <w:b/>
                <w:bCs/>
                <w:color w:val="000000"/>
                <w:kern w:val="0"/>
                <w:sz w:val="24"/>
                <w:szCs w:val="24"/>
              </w:rPr>
              <w:t>药</w:t>
            </w:r>
          </w:p>
          <w:p w:rsidR="004D7B99" w:rsidRPr="004D7B99" w:rsidRDefault="004D7B99" w:rsidP="004D7B99">
            <w:pPr>
              <w:widowControl/>
              <w:spacing w:line="330" w:lineRule="atLeast"/>
              <w:jc w:val="center"/>
              <w:rPr>
                <w:rFonts w:ascii="宋体" w:eastAsia="宋体" w:hAnsi="宋体" w:cs="宋体" w:hint="eastAsia"/>
                <w:b/>
                <w:bCs/>
                <w:color w:val="000000"/>
                <w:kern w:val="0"/>
                <w:sz w:val="24"/>
                <w:szCs w:val="24"/>
              </w:rPr>
            </w:pPr>
            <w:r w:rsidRPr="004D7B99">
              <w:rPr>
                <w:rFonts w:ascii="ˎ̥" w:eastAsia="宋体" w:hAnsi="ˎ̥" w:cs="宋体"/>
                <w:b/>
                <w:bCs/>
                <w:color w:val="000000"/>
                <w:kern w:val="0"/>
                <w:sz w:val="24"/>
                <w:szCs w:val="24"/>
              </w:rPr>
              <w:t>物</w:t>
            </w:r>
          </w:p>
          <w:p w:rsidR="004D7B99" w:rsidRPr="004D7B99" w:rsidRDefault="004D7B99" w:rsidP="004D7B99">
            <w:pPr>
              <w:widowControl/>
              <w:spacing w:line="330" w:lineRule="atLeast"/>
              <w:jc w:val="center"/>
              <w:rPr>
                <w:rFonts w:ascii="宋体" w:eastAsia="宋体" w:hAnsi="宋体" w:cs="宋体" w:hint="eastAsia"/>
                <w:b/>
                <w:bCs/>
                <w:color w:val="000000"/>
                <w:kern w:val="0"/>
                <w:sz w:val="24"/>
                <w:szCs w:val="24"/>
              </w:rPr>
            </w:pPr>
            <w:r w:rsidRPr="004D7B99">
              <w:rPr>
                <w:rFonts w:ascii="ˎ̥" w:eastAsia="宋体" w:hAnsi="ˎ̥" w:cs="宋体"/>
                <w:b/>
                <w:bCs/>
                <w:color w:val="000000"/>
                <w:kern w:val="0"/>
                <w:sz w:val="24"/>
                <w:szCs w:val="24"/>
              </w:rPr>
              <w:t>性</w:t>
            </w:r>
          </w:p>
          <w:p w:rsidR="004D7B99" w:rsidRPr="004D7B99" w:rsidRDefault="004D7B99" w:rsidP="004D7B99">
            <w:pPr>
              <w:widowControl/>
              <w:spacing w:line="330" w:lineRule="atLeast"/>
              <w:jc w:val="center"/>
              <w:rPr>
                <w:rFonts w:ascii="宋体" w:eastAsia="宋体" w:hAnsi="宋体" w:cs="宋体" w:hint="eastAsia"/>
                <w:b/>
                <w:bCs/>
                <w:color w:val="000000"/>
                <w:kern w:val="0"/>
                <w:sz w:val="24"/>
                <w:szCs w:val="24"/>
              </w:rPr>
            </w:pPr>
            <w:r w:rsidRPr="004D7B99">
              <w:rPr>
                <w:rFonts w:ascii="ˎ̥" w:eastAsia="宋体" w:hAnsi="ˎ̥" w:cs="宋体"/>
                <w:b/>
                <w:bCs/>
                <w:color w:val="000000"/>
                <w:kern w:val="0"/>
                <w:sz w:val="24"/>
                <w:szCs w:val="24"/>
              </w:rPr>
              <w:t>废</w:t>
            </w:r>
          </w:p>
          <w:p w:rsidR="004D7B99" w:rsidRPr="004D7B99" w:rsidRDefault="004D7B99" w:rsidP="004D7B99">
            <w:pPr>
              <w:widowControl/>
              <w:spacing w:line="330" w:lineRule="atLeast"/>
              <w:jc w:val="center"/>
              <w:rPr>
                <w:rFonts w:ascii="ˎ̥" w:eastAsia="宋体" w:hAnsi="ˎ̥" w:cs="宋体"/>
                <w:color w:val="000000"/>
                <w:kern w:val="0"/>
                <w:sz w:val="24"/>
                <w:szCs w:val="24"/>
              </w:rPr>
            </w:pPr>
            <w:r w:rsidRPr="004D7B99">
              <w:rPr>
                <w:rFonts w:ascii="ˎ̥" w:eastAsia="宋体" w:hAnsi="ˎ̥" w:cs="宋体"/>
                <w:b/>
                <w:bCs/>
                <w:color w:val="000000"/>
                <w:kern w:val="0"/>
                <w:sz w:val="24"/>
                <w:szCs w:val="24"/>
              </w:rPr>
              <w:t>物</w:t>
            </w:r>
            <w:r w:rsidRPr="004D7B99">
              <w:rPr>
                <w:rFonts w:ascii="ˎ̥" w:eastAsia="宋体" w:hAnsi="ˎ̥" w:cs="宋体"/>
                <w:color w:val="000000"/>
                <w:kern w:val="0"/>
                <w:sz w:val="24"/>
                <w:szCs w:val="24"/>
              </w:rPr>
              <w:t> </w:t>
            </w:r>
          </w:p>
        </w:tc>
        <w:tc>
          <w:tcPr>
            <w:tcW w:w="3300" w:type="dxa"/>
            <w:vMerge w:val="restart"/>
            <w:tcBorders>
              <w:top w:val="nil"/>
              <w:left w:val="nil"/>
              <w:bottom w:val="inset" w:sz="6" w:space="0" w:color="000000"/>
              <w:right w:val="inset" w:sz="6" w:space="0" w:color="000000"/>
            </w:tcBorders>
            <w:hideMark/>
          </w:tcPr>
          <w:p w:rsidR="004D7B99" w:rsidRPr="004D7B99" w:rsidRDefault="004D7B99" w:rsidP="004D7B99">
            <w:pPr>
              <w:widowControl/>
              <w:spacing w:line="330" w:lineRule="atLeast"/>
              <w:jc w:val="left"/>
              <w:rPr>
                <w:rFonts w:ascii="宋体" w:eastAsia="宋体" w:hAnsi="宋体" w:cs="宋体"/>
                <w:color w:val="000000"/>
                <w:kern w:val="0"/>
                <w:szCs w:val="21"/>
              </w:rPr>
            </w:pPr>
            <w:r w:rsidRPr="004D7B99">
              <w:rPr>
                <w:rFonts w:ascii="ˎ̥" w:eastAsia="宋体" w:hAnsi="ˎ̥" w:cs="宋体"/>
                <w:color w:val="000000"/>
                <w:kern w:val="0"/>
                <w:szCs w:val="21"/>
              </w:rPr>
              <w:t> </w:t>
            </w:r>
          </w:p>
          <w:p w:rsidR="004D7B99" w:rsidRPr="004D7B99" w:rsidRDefault="004D7B99" w:rsidP="004D7B99">
            <w:pPr>
              <w:widowControl/>
              <w:spacing w:line="330" w:lineRule="atLeast"/>
              <w:jc w:val="left"/>
              <w:rPr>
                <w:rFonts w:ascii="宋体" w:eastAsia="宋体" w:hAnsi="宋体" w:cs="宋体" w:hint="eastAsia"/>
                <w:color w:val="000000"/>
                <w:kern w:val="0"/>
                <w:szCs w:val="21"/>
              </w:rPr>
            </w:pPr>
          </w:p>
          <w:p w:rsidR="004D7B99" w:rsidRPr="004D7B99" w:rsidRDefault="004D7B99" w:rsidP="004D7B99">
            <w:pPr>
              <w:widowControl/>
              <w:spacing w:line="330" w:lineRule="atLeast"/>
              <w:jc w:val="left"/>
              <w:rPr>
                <w:rFonts w:ascii="宋体" w:eastAsia="宋体" w:hAnsi="宋体" w:cs="宋体" w:hint="eastAsia"/>
                <w:color w:val="000000"/>
                <w:kern w:val="0"/>
                <w:szCs w:val="21"/>
              </w:rPr>
            </w:pPr>
          </w:p>
          <w:p w:rsidR="004D7B99" w:rsidRPr="004D7B99" w:rsidRDefault="004D7B99" w:rsidP="004D7B99">
            <w:pPr>
              <w:widowControl/>
              <w:spacing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过期、淘汰、变质或者被污染的废弃的药品。 </w:t>
            </w: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1、废弃的一般性药品，如：抗生素、非处方类药品等。   </w:t>
            </w:r>
          </w:p>
        </w:tc>
      </w:tr>
      <w:tr w:rsidR="004D7B99" w:rsidRPr="004D7B99" w:rsidTr="004D7B99">
        <w:trPr>
          <w:trHeight w:val="2002"/>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line="240" w:lineRule="atLeast"/>
              <w:jc w:val="left"/>
              <w:rPr>
                <w:rFonts w:ascii="宋体" w:eastAsia="宋体" w:hAnsi="宋体" w:cs="宋体"/>
                <w:color w:val="000000"/>
                <w:kern w:val="0"/>
                <w:szCs w:val="21"/>
              </w:rPr>
            </w:pPr>
          </w:p>
          <w:p w:rsidR="004D7B99" w:rsidRPr="004D7B99" w:rsidRDefault="004D7B99" w:rsidP="004D7B99">
            <w:pPr>
              <w:widowControl/>
              <w:spacing w:line="240" w:lineRule="atLeast"/>
              <w:jc w:val="left"/>
              <w:rPr>
                <w:rFonts w:ascii="仿宋_GB2312" w:eastAsia="仿宋_GB2312" w:hAnsi="宋体" w:cs="宋体" w:hint="eastAsia"/>
                <w:color w:val="000000"/>
                <w:kern w:val="0"/>
                <w:szCs w:val="21"/>
              </w:rPr>
            </w:pPr>
            <w:r w:rsidRPr="004D7B99">
              <w:rPr>
                <w:rFonts w:ascii="仿宋_GB2312" w:eastAsia="仿宋_GB2312" w:hAnsi="宋体" w:cs="宋体" w:hint="eastAsia"/>
                <w:color w:val="000000"/>
                <w:kern w:val="0"/>
                <w:szCs w:val="21"/>
              </w:rPr>
              <w:t xml:space="preserve">2、废弃的细胞毒性药物和遗传毒性药物，包括： </w:t>
            </w:r>
          </w:p>
          <w:p w:rsidR="004D7B99" w:rsidRPr="004D7B99" w:rsidRDefault="004D7B99" w:rsidP="004D7B99">
            <w:pPr>
              <w:widowControl/>
              <w:spacing w:line="240" w:lineRule="atLeast"/>
              <w:jc w:val="left"/>
              <w:rPr>
                <w:rFonts w:ascii="仿宋_GB2312" w:eastAsia="仿宋_GB2312" w:hAnsi="宋体" w:cs="宋体" w:hint="eastAsia"/>
                <w:color w:val="000000"/>
                <w:kern w:val="0"/>
                <w:szCs w:val="21"/>
              </w:rPr>
            </w:pPr>
            <w:r w:rsidRPr="004D7B99">
              <w:rPr>
                <w:rFonts w:ascii="仿宋_GB2312" w:eastAsia="仿宋_GB2312" w:hAnsi="宋体" w:cs="宋体" w:hint="eastAsia"/>
                <w:color w:val="000000"/>
                <w:kern w:val="0"/>
                <w:szCs w:val="21"/>
              </w:rPr>
              <w:t xml:space="preserve">——致癌性药物，如硫唑嘌呤、苯丁酸氮芥、萘氮芥、环孢霉素、环磷酰胺、苯丙胺酸氮芥、司莫司汀、三苯氧氨、硫替派等； </w:t>
            </w:r>
          </w:p>
          <w:p w:rsidR="004D7B99" w:rsidRPr="004D7B99" w:rsidRDefault="004D7B99" w:rsidP="004D7B99">
            <w:pPr>
              <w:widowControl/>
              <w:spacing w:line="240" w:lineRule="atLeast"/>
              <w:jc w:val="left"/>
              <w:rPr>
                <w:rFonts w:ascii="仿宋_GB2312" w:eastAsia="仿宋_GB2312" w:hAnsi="宋体" w:cs="宋体" w:hint="eastAsia"/>
                <w:color w:val="000000"/>
                <w:kern w:val="0"/>
                <w:szCs w:val="21"/>
              </w:rPr>
            </w:pPr>
            <w:r w:rsidRPr="004D7B99">
              <w:rPr>
                <w:rFonts w:ascii="仿宋_GB2312" w:eastAsia="仿宋_GB2312" w:hAnsi="宋体" w:cs="宋体" w:hint="eastAsia"/>
                <w:color w:val="000000"/>
                <w:kern w:val="0"/>
                <w:szCs w:val="21"/>
              </w:rPr>
              <w:t xml:space="preserve">——可疑致癌性药物，如：顺铂、丝裂霉素、阿霉素、苯巴比妥等； </w:t>
            </w:r>
          </w:p>
          <w:p w:rsidR="004D7B99" w:rsidRPr="004D7B99" w:rsidRDefault="004D7B99" w:rsidP="004D7B99">
            <w:pPr>
              <w:widowControl/>
              <w:spacing w:line="24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lastRenderedPageBreak/>
              <w:t xml:space="preserve">——免疫抑制剂。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ˎ̥" w:eastAsia="宋体" w:hAnsi="ˎ̥" w:cs="宋体"/>
                <w:color w:val="000000"/>
                <w:kern w:val="0"/>
                <w:szCs w:val="21"/>
              </w:rPr>
            </w:pPr>
            <w:r w:rsidRPr="004D7B99">
              <w:rPr>
                <w:rFonts w:ascii="仿宋_GB2312" w:eastAsia="仿宋_GB2312" w:hAnsi="ˎ̥" w:cs="宋体" w:hint="eastAsia"/>
                <w:color w:val="000000"/>
                <w:kern w:val="0"/>
                <w:szCs w:val="21"/>
              </w:rPr>
              <w:t>3、废弃的疫苗、血液制品等。</w:t>
            </w:r>
            <w:r w:rsidRPr="004D7B99">
              <w:rPr>
                <w:rFonts w:ascii="宋体" w:eastAsia="宋体" w:hAnsi="宋体" w:cs="宋体"/>
                <w:color w:val="000000"/>
                <w:kern w:val="0"/>
                <w:szCs w:val="21"/>
              </w:rPr>
              <w:t xml:space="preserve"> </w:t>
            </w:r>
            <w:r w:rsidRPr="004D7B99">
              <w:rPr>
                <w:rFonts w:ascii="ˎ̥" w:eastAsia="宋体" w:hAnsi="ˎ̥" w:cs="宋体"/>
                <w:color w:val="000000"/>
                <w:kern w:val="0"/>
                <w:szCs w:val="21"/>
              </w:rPr>
              <w:t xml:space="preserve">  </w:t>
            </w:r>
          </w:p>
        </w:tc>
      </w:tr>
      <w:tr w:rsidR="004D7B99" w:rsidRPr="004D7B99" w:rsidTr="004D7B99">
        <w:trPr>
          <w:jc w:val="center"/>
        </w:trPr>
        <w:tc>
          <w:tcPr>
            <w:tcW w:w="1080" w:type="dxa"/>
            <w:vMerge w:val="restart"/>
            <w:tcBorders>
              <w:top w:val="nil"/>
              <w:left w:val="inset" w:sz="6" w:space="0" w:color="000000"/>
              <w:bottom w:val="inset" w:sz="6" w:space="0" w:color="000000"/>
              <w:right w:val="inset" w:sz="6" w:space="0" w:color="000000"/>
            </w:tcBorders>
            <w:hideMark/>
          </w:tcPr>
          <w:p w:rsidR="004D7B99" w:rsidRPr="004D7B99" w:rsidRDefault="004D7B99" w:rsidP="004D7B99">
            <w:pPr>
              <w:widowControl/>
              <w:spacing w:line="330" w:lineRule="atLeast"/>
              <w:jc w:val="center"/>
              <w:rPr>
                <w:rFonts w:ascii="宋体" w:eastAsia="宋体" w:hAnsi="宋体" w:cs="宋体"/>
                <w:b/>
                <w:bCs/>
                <w:color w:val="000000"/>
                <w:kern w:val="0"/>
                <w:sz w:val="24"/>
                <w:szCs w:val="24"/>
              </w:rPr>
            </w:pPr>
            <w:r w:rsidRPr="004D7B99">
              <w:rPr>
                <w:rFonts w:ascii="ˎ̥" w:eastAsia="宋体" w:hAnsi="ˎ̥" w:cs="宋体"/>
                <w:b/>
                <w:bCs/>
                <w:color w:val="000000"/>
                <w:kern w:val="0"/>
                <w:sz w:val="24"/>
                <w:szCs w:val="24"/>
              </w:rPr>
              <w:t>化学性</w:t>
            </w:r>
          </w:p>
          <w:p w:rsidR="004D7B99" w:rsidRPr="004D7B99" w:rsidRDefault="004D7B99" w:rsidP="004D7B99">
            <w:pPr>
              <w:widowControl/>
              <w:spacing w:line="330" w:lineRule="atLeast"/>
              <w:jc w:val="center"/>
              <w:rPr>
                <w:rFonts w:ascii="ˎ̥" w:eastAsia="宋体" w:hAnsi="ˎ̥" w:cs="宋体"/>
                <w:color w:val="000000"/>
                <w:kern w:val="0"/>
                <w:sz w:val="24"/>
                <w:szCs w:val="24"/>
              </w:rPr>
            </w:pPr>
            <w:r w:rsidRPr="004D7B99">
              <w:rPr>
                <w:rFonts w:ascii="ˎ̥" w:eastAsia="宋体" w:hAnsi="ˎ̥" w:cs="宋体"/>
                <w:b/>
                <w:bCs/>
                <w:color w:val="000000"/>
                <w:kern w:val="0"/>
                <w:sz w:val="24"/>
                <w:szCs w:val="24"/>
              </w:rPr>
              <w:t>废物</w:t>
            </w:r>
            <w:r w:rsidRPr="004D7B99">
              <w:rPr>
                <w:rFonts w:ascii="ˎ̥" w:eastAsia="宋体" w:hAnsi="ˎ̥" w:cs="宋体"/>
                <w:b/>
                <w:bCs/>
                <w:color w:val="000000"/>
                <w:kern w:val="0"/>
                <w:sz w:val="24"/>
                <w:szCs w:val="24"/>
              </w:rPr>
              <w:t xml:space="preserve"> </w:t>
            </w:r>
            <w:r w:rsidRPr="004D7B99">
              <w:rPr>
                <w:rFonts w:ascii="ˎ̥" w:eastAsia="宋体" w:hAnsi="ˎ̥" w:cs="宋体"/>
                <w:color w:val="000000"/>
                <w:kern w:val="0"/>
                <w:sz w:val="24"/>
                <w:szCs w:val="24"/>
              </w:rPr>
              <w:t> </w:t>
            </w:r>
          </w:p>
        </w:tc>
        <w:tc>
          <w:tcPr>
            <w:tcW w:w="3300" w:type="dxa"/>
            <w:vMerge w:val="restart"/>
            <w:tcBorders>
              <w:top w:val="nil"/>
              <w:left w:val="nil"/>
              <w:bottom w:val="inset" w:sz="6" w:space="0" w:color="000000"/>
              <w:right w:val="inset" w:sz="6" w:space="0" w:color="000000"/>
            </w:tcBorders>
            <w:hideMark/>
          </w:tcPr>
          <w:p w:rsidR="004D7B99" w:rsidRPr="004D7B99" w:rsidRDefault="004D7B99" w:rsidP="004D7B99">
            <w:pPr>
              <w:widowControl/>
              <w:spacing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具有毒性、腐蚀性、易燃易爆性的废弃的化学物品。 </w:t>
            </w: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 1、医学影像室、实验室废弃的化学试剂。  </w:t>
            </w:r>
          </w:p>
        </w:tc>
      </w:tr>
      <w:tr w:rsidR="004D7B99" w:rsidRPr="004D7B99" w:rsidTr="004D7B99">
        <w:trPr>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330" w:lineRule="atLeast"/>
              <w:jc w:val="left"/>
              <w:rPr>
                <w:rFonts w:ascii="仿宋_GB2312" w:eastAsia="仿宋_GB2312" w:hAnsi="宋体" w:cs="宋体"/>
                <w:color w:val="000000"/>
                <w:kern w:val="0"/>
                <w:szCs w:val="21"/>
              </w:rPr>
            </w:pPr>
            <w:r w:rsidRPr="004D7B99">
              <w:rPr>
                <w:rFonts w:ascii="仿宋_GB2312" w:eastAsia="仿宋_GB2312" w:hAnsi="宋体" w:cs="宋体" w:hint="eastAsia"/>
                <w:color w:val="000000"/>
                <w:kern w:val="0"/>
                <w:szCs w:val="21"/>
              </w:rPr>
              <w:t xml:space="preserve">2、废弃的过氧乙酸、戊二醛等化学消毒剂。   </w:t>
            </w:r>
          </w:p>
        </w:tc>
      </w:tr>
      <w:tr w:rsidR="004D7B99" w:rsidRPr="004D7B99" w:rsidTr="004D7B99">
        <w:trPr>
          <w:trHeight w:val="65"/>
          <w:jc w:val="center"/>
        </w:trPr>
        <w:tc>
          <w:tcPr>
            <w:tcW w:w="1080" w:type="dxa"/>
            <w:vMerge/>
            <w:tcBorders>
              <w:top w:val="nil"/>
              <w:left w:val="inset" w:sz="6" w:space="0" w:color="000000"/>
              <w:bottom w:val="inset" w:sz="6" w:space="0" w:color="000000"/>
              <w:right w:val="inset" w:sz="6" w:space="0" w:color="000000"/>
            </w:tcBorders>
            <w:vAlign w:val="center"/>
            <w:hideMark/>
          </w:tcPr>
          <w:p w:rsidR="004D7B99" w:rsidRPr="004D7B99" w:rsidRDefault="004D7B99" w:rsidP="004D7B99">
            <w:pPr>
              <w:widowControl/>
              <w:jc w:val="left"/>
              <w:rPr>
                <w:rFonts w:ascii="ˎ̥" w:eastAsia="宋体" w:hAnsi="ˎ̥" w:cs="宋体"/>
                <w:color w:val="000000"/>
                <w:kern w:val="0"/>
                <w:sz w:val="24"/>
                <w:szCs w:val="24"/>
              </w:rPr>
            </w:pPr>
          </w:p>
        </w:tc>
        <w:tc>
          <w:tcPr>
            <w:tcW w:w="3300" w:type="dxa"/>
            <w:vMerge/>
            <w:tcBorders>
              <w:top w:val="nil"/>
              <w:left w:val="nil"/>
              <w:bottom w:val="inset" w:sz="6" w:space="0" w:color="000000"/>
              <w:right w:val="inset" w:sz="6" w:space="0" w:color="000000"/>
            </w:tcBorders>
            <w:vAlign w:val="center"/>
            <w:hideMark/>
          </w:tcPr>
          <w:p w:rsidR="004D7B99" w:rsidRPr="004D7B99" w:rsidRDefault="004D7B99" w:rsidP="004D7B99">
            <w:pPr>
              <w:widowControl/>
              <w:jc w:val="left"/>
              <w:rPr>
                <w:rFonts w:ascii="仿宋_GB2312" w:eastAsia="仿宋_GB2312" w:hAnsi="宋体" w:cs="宋体"/>
                <w:color w:val="000000"/>
                <w:kern w:val="0"/>
                <w:szCs w:val="21"/>
              </w:rPr>
            </w:pPr>
          </w:p>
        </w:tc>
        <w:tc>
          <w:tcPr>
            <w:tcW w:w="4620" w:type="dxa"/>
            <w:tcBorders>
              <w:top w:val="inset" w:sz="6" w:space="0" w:color="000000"/>
              <w:left w:val="nil"/>
              <w:bottom w:val="inset" w:sz="6" w:space="0" w:color="000000"/>
              <w:right w:val="inset" w:sz="6" w:space="0" w:color="000000"/>
            </w:tcBorders>
            <w:hideMark/>
          </w:tcPr>
          <w:p w:rsidR="004D7B99" w:rsidRPr="004D7B99" w:rsidRDefault="004D7B99" w:rsidP="004D7B99">
            <w:pPr>
              <w:widowControl/>
              <w:spacing w:before="100" w:after="100" w:line="65" w:lineRule="atLeast"/>
              <w:jc w:val="left"/>
              <w:rPr>
                <w:rFonts w:ascii="ˎ̥" w:eastAsia="宋体" w:hAnsi="ˎ̥" w:cs="宋体"/>
                <w:color w:val="000000"/>
                <w:kern w:val="0"/>
                <w:szCs w:val="21"/>
              </w:rPr>
            </w:pPr>
            <w:r w:rsidRPr="004D7B99">
              <w:rPr>
                <w:rFonts w:ascii="仿宋_GB2312" w:eastAsia="仿宋_GB2312" w:hAnsi="ˎ̥" w:cs="宋体" w:hint="eastAsia"/>
                <w:color w:val="000000"/>
                <w:kern w:val="0"/>
                <w:szCs w:val="21"/>
              </w:rPr>
              <w:t>3、废弃的汞血压计、汞温度计。</w:t>
            </w:r>
            <w:r w:rsidRPr="004D7B99">
              <w:rPr>
                <w:rFonts w:ascii="宋体" w:eastAsia="宋体" w:hAnsi="宋体" w:cs="宋体"/>
                <w:color w:val="000000"/>
                <w:kern w:val="0"/>
                <w:szCs w:val="21"/>
              </w:rPr>
              <w:t xml:space="preserve"> </w:t>
            </w:r>
          </w:p>
        </w:tc>
      </w:tr>
    </w:tbl>
    <w:p w:rsidR="008226A1" w:rsidRDefault="008226A1"/>
    <w:sectPr w:rsidR="008226A1" w:rsidSect="008226A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D7B99"/>
    <w:rsid w:val="004D7B99"/>
    <w:rsid w:val="008226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6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4D7B9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94161747">
      <w:bodyDiv w:val="1"/>
      <w:marLeft w:val="0"/>
      <w:marRight w:val="0"/>
      <w:marTop w:val="0"/>
      <w:marBottom w:val="0"/>
      <w:divBdr>
        <w:top w:val="none" w:sz="0" w:space="0" w:color="auto"/>
        <w:left w:val="none" w:sz="0" w:space="0" w:color="auto"/>
        <w:bottom w:val="none" w:sz="0" w:space="0" w:color="auto"/>
        <w:right w:val="none" w:sz="0" w:space="0" w:color="auto"/>
      </w:divBdr>
      <w:divsChild>
        <w:div w:id="990448082">
          <w:marLeft w:val="0"/>
          <w:marRight w:val="0"/>
          <w:marTop w:val="0"/>
          <w:marBottom w:val="0"/>
          <w:divBdr>
            <w:top w:val="none" w:sz="0" w:space="0" w:color="auto"/>
            <w:left w:val="none" w:sz="0" w:space="0" w:color="auto"/>
            <w:bottom w:val="none" w:sz="0" w:space="0" w:color="auto"/>
            <w:right w:val="none" w:sz="0" w:space="0" w:color="auto"/>
          </w:divBdr>
          <w:divsChild>
            <w:div w:id="1761172331">
              <w:marLeft w:val="0"/>
              <w:marRight w:val="0"/>
              <w:marTop w:val="0"/>
              <w:marBottom w:val="0"/>
              <w:divBdr>
                <w:top w:val="none" w:sz="0" w:space="0" w:color="auto"/>
                <w:left w:val="none" w:sz="0" w:space="0" w:color="auto"/>
                <w:bottom w:val="none" w:sz="0" w:space="0" w:color="auto"/>
                <w:right w:val="none" w:sz="0" w:space="0" w:color="auto"/>
              </w:divBdr>
              <w:divsChild>
                <w:div w:id="1005287865">
                  <w:marLeft w:val="0"/>
                  <w:marRight w:val="0"/>
                  <w:marTop w:val="0"/>
                  <w:marBottom w:val="0"/>
                  <w:divBdr>
                    <w:top w:val="none" w:sz="0" w:space="0" w:color="auto"/>
                    <w:left w:val="none" w:sz="0" w:space="0" w:color="auto"/>
                    <w:bottom w:val="none" w:sz="0" w:space="0" w:color="auto"/>
                    <w:right w:val="none" w:sz="0" w:space="0" w:color="auto"/>
                  </w:divBdr>
                  <w:divsChild>
                    <w:div w:id="1078481173">
                      <w:marLeft w:val="0"/>
                      <w:marRight w:val="0"/>
                      <w:marTop w:val="0"/>
                      <w:marBottom w:val="0"/>
                      <w:divBdr>
                        <w:top w:val="none" w:sz="0" w:space="0" w:color="auto"/>
                        <w:left w:val="none" w:sz="0" w:space="0" w:color="auto"/>
                        <w:bottom w:val="none" w:sz="0" w:space="0" w:color="auto"/>
                        <w:right w:val="none" w:sz="0" w:space="0" w:color="auto"/>
                      </w:divBdr>
                      <w:divsChild>
                        <w:div w:id="548416430">
                          <w:marLeft w:val="0"/>
                          <w:marRight w:val="0"/>
                          <w:marTop w:val="0"/>
                          <w:marBottom w:val="0"/>
                          <w:divBdr>
                            <w:top w:val="none" w:sz="0" w:space="0" w:color="auto"/>
                            <w:left w:val="none" w:sz="0" w:space="0" w:color="auto"/>
                            <w:bottom w:val="none" w:sz="0" w:space="0" w:color="auto"/>
                            <w:right w:val="none" w:sz="0" w:space="0" w:color="auto"/>
                          </w:divBdr>
                          <w:divsChild>
                            <w:div w:id="2053069535">
                              <w:marLeft w:val="0"/>
                              <w:marRight w:val="0"/>
                              <w:marTop w:val="0"/>
                              <w:marBottom w:val="0"/>
                              <w:divBdr>
                                <w:top w:val="none" w:sz="0" w:space="0" w:color="auto"/>
                                <w:left w:val="none" w:sz="0" w:space="0" w:color="auto"/>
                                <w:bottom w:val="none" w:sz="0" w:space="0" w:color="auto"/>
                                <w:right w:val="none" w:sz="0" w:space="0" w:color="auto"/>
                              </w:divBdr>
                            </w:div>
                            <w:div w:id="1057975026">
                              <w:marLeft w:val="0"/>
                              <w:marRight w:val="0"/>
                              <w:marTop w:val="0"/>
                              <w:marBottom w:val="0"/>
                              <w:divBdr>
                                <w:top w:val="none" w:sz="0" w:space="0" w:color="auto"/>
                                <w:left w:val="none" w:sz="0" w:space="0" w:color="auto"/>
                                <w:bottom w:val="none" w:sz="0" w:space="0" w:color="auto"/>
                                <w:right w:val="none" w:sz="0" w:space="0" w:color="auto"/>
                              </w:divBdr>
                            </w:div>
                            <w:div w:id="157617180">
                              <w:marLeft w:val="0"/>
                              <w:marRight w:val="0"/>
                              <w:marTop w:val="0"/>
                              <w:marBottom w:val="0"/>
                              <w:divBdr>
                                <w:top w:val="none" w:sz="0" w:space="0" w:color="auto"/>
                                <w:left w:val="none" w:sz="0" w:space="0" w:color="auto"/>
                                <w:bottom w:val="none" w:sz="0" w:space="0" w:color="auto"/>
                                <w:right w:val="none" w:sz="0" w:space="0" w:color="auto"/>
                              </w:divBdr>
                              <w:divsChild>
                                <w:div w:id="182662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2015-02-05T07:16:00Z</dcterms:created>
  <dcterms:modified xsi:type="dcterms:W3CDTF">2015-02-05T07:17:00Z</dcterms:modified>
</cp:coreProperties>
</file>