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38" w:rsidRPr="00270638" w:rsidRDefault="00270638" w:rsidP="00270638">
      <w:pPr>
        <w:widowControl/>
        <w:wordWrap w:val="0"/>
        <w:spacing w:before="100" w:beforeAutospacing="1" w:after="100" w:afterAutospacing="1"/>
        <w:jc w:val="center"/>
        <w:outlineLvl w:val="0"/>
        <w:rPr>
          <w:rFonts w:ascii="Tahoma" w:eastAsia="宋体" w:hAnsi="Tahoma" w:cs="Tahoma"/>
          <w:b/>
          <w:bCs/>
          <w:color w:val="000000"/>
          <w:kern w:val="36"/>
          <w:sz w:val="24"/>
          <w:szCs w:val="24"/>
        </w:rPr>
      </w:pPr>
      <w:r w:rsidRPr="00270638">
        <w:rPr>
          <w:rFonts w:ascii="Tahoma" w:eastAsia="宋体" w:hAnsi="Tahoma" w:cs="Tahoma"/>
          <w:b/>
          <w:bCs/>
          <w:color w:val="000000"/>
          <w:kern w:val="36"/>
          <w:sz w:val="24"/>
          <w:szCs w:val="24"/>
        </w:rPr>
        <w:t>2015</w:t>
      </w:r>
      <w:r w:rsidRPr="00270638">
        <w:rPr>
          <w:rFonts w:ascii="Tahoma" w:eastAsia="宋体" w:hAnsi="Tahoma" w:cs="Tahoma"/>
          <w:b/>
          <w:bCs/>
          <w:color w:val="000000"/>
          <w:kern w:val="36"/>
          <w:sz w:val="24"/>
          <w:szCs w:val="24"/>
        </w:rPr>
        <w:t>年项目指南新变化</w:t>
      </w:r>
    </w:p>
    <w:p w:rsidR="00270638" w:rsidRPr="00270638" w:rsidRDefault="00270638" w:rsidP="00270638">
      <w:pPr>
        <w:widowControl/>
        <w:wordWrap w:val="0"/>
        <w:jc w:val="left"/>
        <w:rPr>
          <w:rFonts w:ascii="宋体" w:eastAsia="宋体" w:hAnsi="宋体" w:cs="宋体"/>
          <w:color w:val="000000"/>
          <w:kern w:val="0"/>
          <w:sz w:val="24"/>
          <w:szCs w:val="21"/>
        </w:rPr>
      </w:pPr>
      <w:r w:rsidRPr="00270638">
        <w:rPr>
          <w:rFonts w:ascii="宋体" w:eastAsia="宋体" w:hAnsi="宋体" w:cs="宋体" w:hint="eastAsia"/>
          <w:b/>
          <w:bCs/>
          <w:color w:val="000000"/>
          <w:kern w:val="0"/>
          <w:sz w:val="28"/>
          <w:szCs w:val="28"/>
        </w:rPr>
        <w:t>一、项目</w:t>
      </w:r>
    </w:p>
    <w:p w:rsidR="00270638" w:rsidRPr="00270638" w:rsidRDefault="00270638" w:rsidP="00270638">
      <w:pPr>
        <w:widowControl/>
        <w:wordWrap w:val="0"/>
        <w:spacing w:line="360" w:lineRule="auto"/>
        <w:ind w:left="357" w:hanging="357"/>
        <w:jc w:val="left"/>
        <w:rPr>
          <w:rFonts w:ascii="宋体" w:eastAsia="宋体" w:hAnsi="宋体" w:cs="Tahoma"/>
          <w:color w:val="000000"/>
          <w:kern w:val="0"/>
          <w:sz w:val="24"/>
          <w:szCs w:val="24"/>
        </w:rPr>
      </w:pPr>
      <w:r w:rsidRPr="00270638">
        <w:rPr>
          <w:rFonts w:ascii="宋体" w:eastAsia="宋体" w:hAnsi="宋体" w:cs="Tahoma" w:hint="eastAsia"/>
          <w:color w:val="000000"/>
          <w:kern w:val="0"/>
          <w:sz w:val="24"/>
          <w:szCs w:val="24"/>
        </w:rPr>
        <w:t>项目变化情况请参见“2014年项目指南新变化”。</w:t>
      </w:r>
    </w:p>
    <w:p w:rsid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2014</w:t>
      </w:r>
      <w:r w:rsidRPr="00270638">
        <w:rPr>
          <w:rFonts w:ascii="宋体" w:eastAsia="宋体" w:hAnsi="宋体" w:cs="Tahoma" w:hint="eastAsia"/>
          <w:color w:val="000000"/>
          <w:kern w:val="0"/>
          <w:sz w:val="24"/>
          <w:szCs w:val="24"/>
        </w:rPr>
        <w:t>年项目指南新变化</w:t>
      </w:r>
      <w:r>
        <w:rPr>
          <w:rFonts w:ascii="宋体" w:eastAsia="宋体" w:hAnsi="宋体" w:cs="Tahoma" w:hint="eastAsia"/>
          <w:color w:val="000000"/>
          <w:kern w:val="0"/>
          <w:sz w:val="24"/>
          <w:szCs w:val="24"/>
        </w:rPr>
        <w:t>：</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1</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青年科学基金项目：</w:t>
      </w:r>
      <w:r w:rsidRPr="00270638">
        <w:rPr>
          <w:rFonts w:ascii="宋体" w:eastAsia="宋体" w:hAnsi="宋体" w:cs="Tahoma" w:hint="eastAsia"/>
          <w:color w:val="000000"/>
          <w:kern w:val="0"/>
          <w:sz w:val="24"/>
          <w:szCs w:val="24"/>
        </w:rPr>
        <w:t>在线填写申请书。</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2</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青年</w:t>
      </w:r>
      <w:r w:rsidRPr="00270638">
        <w:rPr>
          <w:rFonts w:ascii="Tahoma" w:eastAsia="宋体" w:hAnsi="Tahoma" w:cs="Tahoma"/>
          <w:b/>
          <w:bCs/>
          <w:color w:val="000000"/>
          <w:kern w:val="0"/>
          <w:sz w:val="24"/>
          <w:szCs w:val="24"/>
        </w:rPr>
        <w:t>-</w:t>
      </w:r>
      <w:r w:rsidRPr="00270638">
        <w:rPr>
          <w:rFonts w:ascii="宋体" w:eastAsia="宋体" w:hAnsi="宋体" w:cs="Tahoma" w:hint="eastAsia"/>
          <w:b/>
          <w:bCs/>
          <w:color w:val="000000"/>
          <w:kern w:val="0"/>
          <w:sz w:val="24"/>
          <w:szCs w:val="24"/>
        </w:rPr>
        <w:t>面上连续资助</w:t>
      </w:r>
      <w:r w:rsidRPr="00270638">
        <w:rPr>
          <w:rFonts w:ascii="宋体" w:eastAsia="宋体" w:hAnsi="宋体" w:cs="Tahoma" w:hint="eastAsia"/>
          <w:b/>
          <w:bCs/>
          <w:color w:val="000000"/>
          <w:kern w:val="0"/>
          <w:sz w:val="24"/>
          <w:szCs w:val="24"/>
          <w:u w:val="single"/>
        </w:rPr>
        <w:t>项目类别取消</w:t>
      </w:r>
      <w:r w:rsidRPr="00270638">
        <w:rPr>
          <w:rFonts w:ascii="宋体" w:eastAsia="宋体" w:hAnsi="宋体" w:cs="Tahoma" w:hint="eastAsia"/>
          <w:color w:val="000000"/>
          <w:kern w:val="0"/>
          <w:sz w:val="24"/>
          <w:szCs w:val="24"/>
        </w:rPr>
        <w:t>，将于当年结题的不具有高级职称的青年基金负责人可直接申请面上项目。</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3</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合并的专项项目</w:t>
      </w:r>
      <w:r w:rsidRPr="00270638">
        <w:rPr>
          <w:rFonts w:ascii="宋体" w:eastAsia="宋体" w:hAnsi="宋体" w:cs="Tahoma" w:hint="eastAsia"/>
          <w:color w:val="000000"/>
          <w:kern w:val="0"/>
          <w:sz w:val="24"/>
          <w:szCs w:val="24"/>
        </w:rPr>
        <w:t>：</w:t>
      </w:r>
      <w:r w:rsidRPr="00270638">
        <w:rPr>
          <w:rFonts w:ascii="Tahoma" w:eastAsia="宋体" w:hAnsi="Tahoma" w:cs="Tahoma"/>
          <w:color w:val="000000"/>
          <w:kern w:val="0"/>
          <w:sz w:val="24"/>
          <w:szCs w:val="24"/>
        </w:rPr>
        <w:t xml:space="preserve"> </w:t>
      </w:r>
      <w:r w:rsidRPr="00270638">
        <w:rPr>
          <w:rFonts w:ascii="宋体" w:eastAsia="宋体" w:hAnsi="宋体" w:cs="Tahoma" w:hint="eastAsia"/>
          <w:b/>
          <w:bCs/>
          <w:color w:val="000000"/>
          <w:kern w:val="0"/>
          <w:sz w:val="24"/>
          <w:szCs w:val="24"/>
          <w:u w:val="single"/>
        </w:rPr>
        <w:t>“科学仪器基础研究专款项目”</w:t>
      </w:r>
      <w:r w:rsidRPr="00270638">
        <w:rPr>
          <w:rFonts w:ascii="Tahoma" w:eastAsia="宋体" w:hAnsi="Tahoma" w:cs="Tahoma"/>
          <w:b/>
          <w:bCs/>
          <w:color w:val="000000"/>
          <w:kern w:val="0"/>
          <w:sz w:val="24"/>
          <w:szCs w:val="24"/>
          <w:u w:val="single"/>
        </w:rPr>
        <w:t xml:space="preserve"> </w:t>
      </w:r>
      <w:r w:rsidRPr="00270638">
        <w:rPr>
          <w:rFonts w:ascii="宋体" w:eastAsia="宋体" w:hAnsi="宋体" w:cs="Tahoma" w:hint="eastAsia"/>
          <w:b/>
          <w:bCs/>
          <w:color w:val="000000"/>
          <w:kern w:val="0"/>
          <w:sz w:val="24"/>
          <w:szCs w:val="24"/>
          <w:u w:val="single"/>
        </w:rPr>
        <w:t>与“国家重大科研仪器设备研制专项（自由申请项目）”合并</w:t>
      </w:r>
      <w:r w:rsidRPr="00270638">
        <w:rPr>
          <w:rFonts w:ascii="宋体" w:eastAsia="宋体" w:hAnsi="宋体" w:cs="Tahoma" w:hint="eastAsia"/>
          <w:color w:val="000000"/>
          <w:kern w:val="0"/>
          <w:sz w:val="24"/>
          <w:szCs w:val="24"/>
        </w:rPr>
        <w:t>，统称“国家重大科研仪器设备研制专项（自由申请项目）”</w:t>
      </w:r>
      <w:r w:rsidRPr="00270638">
        <w:rPr>
          <w:rFonts w:ascii="宋体" w:eastAsia="宋体" w:hAnsi="宋体" w:cs="Tahoma" w:hint="eastAsia"/>
          <w:color w:val="000000"/>
          <w:kern w:val="0"/>
          <w:szCs w:val="21"/>
        </w:rPr>
        <w:t>。</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4</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取消的专项项目</w:t>
      </w:r>
      <w:r w:rsidRPr="00270638">
        <w:rPr>
          <w:rFonts w:ascii="宋体" w:eastAsia="宋体" w:hAnsi="宋体" w:cs="Tahoma" w:hint="eastAsia"/>
          <w:color w:val="000000"/>
          <w:kern w:val="0"/>
          <w:sz w:val="24"/>
          <w:szCs w:val="24"/>
        </w:rPr>
        <w:t>：“重点学术期刊专项基金”、“科普项目”以及“国家基础科学人才培养基金项目”、“青少年科技活动项目”和“优秀国家重点实验室研究项目”等项目取消。</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5</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color w:val="000000"/>
          <w:kern w:val="0"/>
          <w:sz w:val="24"/>
          <w:szCs w:val="24"/>
        </w:rPr>
        <w:t>“重大国际（地区）合作研究项目”</w:t>
      </w:r>
      <w:r w:rsidRPr="00270638">
        <w:rPr>
          <w:rFonts w:ascii="宋体" w:eastAsia="宋体" w:hAnsi="宋体" w:cs="Tahoma" w:hint="eastAsia"/>
          <w:b/>
          <w:bCs/>
          <w:color w:val="000000"/>
          <w:kern w:val="0"/>
          <w:sz w:val="24"/>
          <w:szCs w:val="24"/>
          <w:u w:val="single"/>
        </w:rPr>
        <w:t>更名</w:t>
      </w:r>
      <w:r w:rsidRPr="00270638">
        <w:rPr>
          <w:rFonts w:ascii="宋体" w:eastAsia="宋体" w:hAnsi="宋体" w:cs="Tahoma" w:hint="eastAsia"/>
          <w:color w:val="000000"/>
          <w:kern w:val="0"/>
          <w:sz w:val="24"/>
          <w:szCs w:val="24"/>
        </w:rPr>
        <w:t>为重点国际（地区）合作研究项目。</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6</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创新研究群体项目</w:t>
      </w:r>
      <w:r w:rsidRPr="00270638">
        <w:rPr>
          <w:rFonts w:ascii="宋体" w:eastAsia="宋体" w:hAnsi="宋体" w:cs="Tahoma" w:hint="eastAsia"/>
          <w:color w:val="000000"/>
          <w:kern w:val="0"/>
          <w:sz w:val="24"/>
          <w:szCs w:val="24"/>
        </w:rPr>
        <w:t>不再实行部门推荐申请方式，改为申请人通过依托单位直接向自然科学基金委提出申请。学术带头人作为项目申请人，应当具有正高级专业技术职务（职称）、较高的学术造诣和国际影响力，申请当年1月1日未满55周岁[1959年1月1日（含）以后出生]。</w:t>
      </w:r>
    </w:p>
    <w:p w:rsidR="00270638" w:rsidRPr="00270638" w:rsidRDefault="00270638" w:rsidP="00270638">
      <w:pPr>
        <w:widowControl/>
        <w:wordWrap w:val="0"/>
        <w:spacing w:line="360" w:lineRule="auto"/>
        <w:ind w:left="357" w:hanging="357"/>
        <w:jc w:val="left"/>
        <w:rPr>
          <w:rFonts w:ascii="Tahoma" w:eastAsia="宋体" w:hAnsi="Tahoma" w:cs="Tahoma"/>
          <w:color w:val="000000"/>
          <w:kern w:val="0"/>
          <w:szCs w:val="21"/>
        </w:rPr>
      </w:pPr>
      <w:r w:rsidRPr="00270638">
        <w:rPr>
          <w:rFonts w:ascii="Tahoma" w:eastAsia="宋体" w:hAnsi="Tahoma" w:cs="Tahoma"/>
          <w:color w:val="000000"/>
          <w:kern w:val="0"/>
          <w:szCs w:val="21"/>
        </w:rPr>
        <w:t>7</w:t>
      </w:r>
      <w:r w:rsidRPr="00270638">
        <w:rPr>
          <w:rFonts w:ascii="Tahoma" w:eastAsia="宋体" w:hAnsi="Tahoma" w:cs="Tahoma"/>
          <w:color w:val="000000"/>
          <w:kern w:val="0"/>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color w:val="000000"/>
          <w:kern w:val="0"/>
          <w:sz w:val="24"/>
          <w:szCs w:val="24"/>
        </w:rPr>
        <w:t>医学科学部有关疾病动物模型创建的项目申请仅限于</w:t>
      </w:r>
      <w:r w:rsidRPr="00270638">
        <w:rPr>
          <w:rFonts w:ascii="宋体" w:eastAsia="宋体" w:hAnsi="宋体" w:cs="Tahoma" w:hint="eastAsia"/>
          <w:b/>
          <w:bCs/>
          <w:color w:val="000000"/>
          <w:kern w:val="0"/>
          <w:sz w:val="24"/>
          <w:szCs w:val="24"/>
        </w:rPr>
        <w:t>面上项目</w:t>
      </w:r>
      <w:r w:rsidRPr="00270638">
        <w:rPr>
          <w:rFonts w:ascii="宋体" w:eastAsia="宋体" w:hAnsi="宋体" w:cs="Tahoma" w:hint="eastAsia"/>
          <w:color w:val="000000"/>
          <w:kern w:val="0"/>
          <w:sz w:val="24"/>
          <w:szCs w:val="24"/>
        </w:rPr>
        <w:t>，青年科学基金与地区科学基金不再设立</w:t>
      </w:r>
      <w:r w:rsidRPr="00270638">
        <w:rPr>
          <w:rFonts w:ascii="宋体" w:eastAsia="宋体" w:hAnsi="宋体" w:cs="Tahoma" w:hint="eastAsia"/>
          <w:b/>
          <w:bCs/>
          <w:color w:val="000000"/>
          <w:kern w:val="0"/>
          <w:sz w:val="24"/>
          <w:szCs w:val="24"/>
          <w:u w:val="single"/>
        </w:rPr>
        <w:t>“疾病动物模型建立”</w:t>
      </w:r>
      <w:r w:rsidRPr="00270638">
        <w:rPr>
          <w:rFonts w:ascii="宋体" w:eastAsia="宋体" w:hAnsi="宋体" w:cs="Tahoma" w:hint="eastAsia"/>
          <w:color w:val="000000"/>
          <w:kern w:val="0"/>
          <w:sz w:val="24"/>
          <w:szCs w:val="24"/>
        </w:rPr>
        <w:t>类别。</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宋体" w:eastAsia="宋体" w:hAnsi="宋体" w:cs="宋体" w:hint="eastAsia"/>
          <w:b/>
          <w:bCs/>
          <w:color w:val="000000"/>
          <w:kern w:val="0"/>
          <w:sz w:val="28"/>
          <w:szCs w:val="28"/>
        </w:rPr>
        <w:t>二、申请书</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Calibri" w:eastAsia="宋体" w:hAnsi="Calibri" w:cs="Calibri"/>
          <w:color w:val="000000"/>
          <w:kern w:val="0"/>
          <w:sz w:val="24"/>
          <w:szCs w:val="21"/>
        </w:rPr>
        <w:t>1</w:t>
      </w:r>
      <w:r w:rsidRPr="00270638">
        <w:rPr>
          <w:rFonts w:ascii="Calibri" w:eastAsia="宋体" w:hAnsi="Calibri" w:cs="Tahoma" w:hint="eastAsia"/>
          <w:color w:val="000000"/>
          <w:kern w:val="0"/>
          <w:sz w:val="24"/>
          <w:szCs w:val="21"/>
        </w:rPr>
        <w:t>、</w:t>
      </w:r>
      <w:r w:rsidRPr="00270638">
        <w:rPr>
          <w:rFonts w:ascii="Times New Roman" w:eastAsia="宋体" w:hAnsi="Times New Roman" w:cs="Times New Roman"/>
          <w:color w:val="000000"/>
          <w:kern w:val="0"/>
          <w:sz w:val="14"/>
          <w:szCs w:val="14"/>
        </w:rPr>
        <w:t xml:space="preserve">  </w:t>
      </w:r>
      <w:r w:rsidRPr="00270638">
        <w:rPr>
          <w:rFonts w:ascii="宋体" w:eastAsia="宋体" w:hAnsi="宋体" w:cs="Tahoma" w:hint="eastAsia"/>
          <w:b/>
          <w:bCs/>
          <w:color w:val="000000"/>
          <w:kern w:val="0"/>
          <w:sz w:val="24"/>
          <w:szCs w:val="24"/>
        </w:rPr>
        <w:t>各类基金项目：</w:t>
      </w:r>
      <w:r w:rsidRPr="00270638">
        <w:rPr>
          <w:rFonts w:ascii="宋体" w:eastAsia="宋体" w:hAnsi="宋体" w:cs="Tahoma" w:hint="eastAsia"/>
          <w:bCs/>
          <w:color w:val="000000"/>
          <w:kern w:val="0"/>
          <w:sz w:val="24"/>
          <w:szCs w:val="24"/>
        </w:rPr>
        <w:t>所有项目均要</w:t>
      </w:r>
      <w:r w:rsidRPr="00270638">
        <w:rPr>
          <w:rFonts w:ascii="宋体" w:eastAsia="宋体" w:hAnsi="宋体" w:cs="Tahoma" w:hint="eastAsia"/>
          <w:color w:val="000000"/>
          <w:kern w:val="0"/>
          <w:sz w:val="24"/>
          <w:szCs w:val="24"/>
        </w:rPr>
        <w:t>在线填写申请书。另外，申请书</w:t>
      </w:r>
      <w:proofErr w:type="gramStart"/>
      <w:r w:rsidRPr="00270638">
        <w:rPr>
          <w:rFonts w:ascii="宋体" w:eastAsia="宋体" w:hAnsi="宋体" w:cs="Tahoma" w:hint="eastAsia"/>
          <w:color w:val="000000"/>
          <w:kern w:val="0"/>
          <w:sz w:val="24"/>
          <w:szCs w:val="24"/>
        </w:rPr>
        <w:t>填写请</w:t>
      </w:r>
      <w:proofErr w:type="gramEnd"/>
      <w:r w:rsidRPr="00270638">
        <w:rPr>
          <w:rFonts w:ascii="宋体" w:eastAsia="宋体" w:hAnsi="宋体" w:cs="Tahoma" w:hint="eastAsia"/>
          <w:color w:val="000000"/>
          <w:kern w:val="0"/>
          <w:sz w:val="24"/>
          <w:szCs w:val="24"/>
        </w:rPr>
        <w:t>注意：</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Calibri" w:eastAsia="宋体" w:hAnsi="Calibri" w:cs="Calibri"/>
          <w:color w:val="000000"/>
          <w:kern w:val="0"/>
          <w:sz w:val="24"/>
          <w:szCs w:val="21"/>
        </w:rPr>
        <w:t xml:space="preserve">    </w:t>
      </w:r>
      <w:r w:rsidRPr="00270638">
        <w:rPr>
          <w:rFonts w:ascii="宋体" w:eastAsia="宋体" w:hAnsi="宋体" w:cs="Tahoma" w:hint="eastAsia"/>
          <w:color w:val="000000"/>
          <w:kern w:val="0"/>
          <w:sz w:val="24"/>
          <w:szCs w:val="24"/>
        </w:rPr>
        <w:t xml:space="preserve">1）填写申请书之前，请务必先在基金委ISIS网上（http://isisn.nsfc.gov.cn/egrantweb/）学习具体操作，即左侧“重要提示”下第三行的“申请功能培训： </w:t>
      </w:r>
      <w:hyperlink r:id="rId5" w:tgtFrame="_blank" w:history="1">
        <w:r w:rsidRPr="00270638">
          <w:rPr>
            <w:rFonts w:ascii="宋体" w:eastAsia="宋体" w:hAnsi="宋体" w:cs="Tahoma" w:hint="eastAsia"/>
            <w:color w:val="000000"/>
            <w:kern w:val="0"/>
            <w:sz w:val="24"/>
            <w:szCs w:val="24"/>
          </w:rPr>
          <w:t>申请培训(申请人)</w:t>
        </w:r>
      </w:hyperlink>
      <w:r w:rsidRPr="00270638">
        <w:rPr>
          <w:rFonts w:ascii="宋体" w:eastAsia="宋体" w:hAnsi="宋体" w:cs="Tahoma" w:hint="eastAsia"/>
          <w:color w:val="000000"/>
          <w:kern w:val="0"/>
          <w:sz w:val="24"/>
          <w:szCs w:val="24"/>
        </w:rPr>
        <w:t xml:space="preserve"> ”和第六行的“</w:t>
      </w:r>
      <w:hyperlink r:id="rId6" w:tgtFrame="_blank" w:history="1">
        <w:r w:rsidRPr="00270638">
          <w:rPr>
            <w:rFonts w:ascii="宋体" w:eastAsia="宋体" w:hAnsi="宋体" w:cs="Tahoma" w:hint="eastAsia"/>
            <w:color w:val="000000"/>
            <w:kern w:val="0"/>
            <w:sz w:val="24"/>
            <w:szCs w:val="24"/>
          </w:rPr>
          <w:t>系统角色培训</w:t>
        </w:r>
      </w:hyperlink>
      <w:r w:rsidRPr="00270638">
        <w:rPr>
          <w:rFonts w:ascii="宋体" w:eastAsia="宋体" w:hAnsi="宋体" w:cs="Tahoma" w:hint="eastAsia"/>
          <w:color w:val="000000"/>
          <w:kern w:val="0"/>
          <w:sz w:val="24"/>
          <w:szCs w:val="24"/>
        </w:rPr>
        <w:t> ”。</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宋体" w:eastAsia="宋体" w:hAnsi="宋体" w:cs="Tahoma" w:hint="eastAsia"/>
          <w:color w:val="000000"/>
          <w:kern w:val="0"/>
          <w:sz w:val="24"/>
          <w:szCs w:val="24"/>
        </w:rPr>
        <w:t xml:space="preserve">    2）填写申请书之前，申请人需</w:t>
      </w:r>
      <w:proofErr w:type="gramStart"/>
      <w:r w:rsidRPr="00270638">
        <w:rPr>
          <w:rFonts w:ascii="宋体" w:eastAsia="宋体" w:hAnsi="宋体" w:cs="Tahoma" w:hint="eastAsia"/>
          <w:color w:val="000000"/>
          <w:kern w:val="0"/>
          <w:sz w:val="24"/>
          <w:szCs w:val="24"/>
        </w:rPr>
        <w:t>先维护</w:t>
      </w:r>
      <w:proofErr w:type="gramEnd"/>
      <w:r w:rsidRPr="00270638">
        <w:rPr>
          <w:rFonts w:ascii="宋体" w:eastAsia="宋体" w:hAnsi="宋体" w:cs="Tahoma" w:hint="eastAsia"/>
          <w:color w:val="000000"/>
          <w:kern w:val="0"/>
          <w:sz w:val="24"/>
          <w:szCs w:val="24"/>
        </w:rPr>
        <w:t>个人信息，包括项目主要参与者的信息，除硕士、博士研究生外，在职人员必须填写个人简历；除研究生外的个</w:t>
      </w:r>
      <w:r w:rsidRPr="00270638">
        <w:rPr>
          <w:rFonts w:ascii="宋体" w:eastAsia="宋体" w:hAnsi="宋体" w:cs="Tahoma" w:hint="eastAsia"/>
          <w:color w:val="000000"/>
          <w:kern w:val="0"/>
          <w:sz w:val="24"/>
          <w:szCs w:val="24"/>
        </w:rPr>
        <w:lastRenderedPageBreak/>
        <w:t>人简历离线填写完成后需上传；填写申请书时，已经填写好的个人信息系统将自动提取。</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宋体" w:eastAsia="宋体" w:hAnsi="宋体" w:cs="Tahoma" w:hint="eastAsia"/>
          <w:color w:val="000000"/>
          <w:kern w:val="0"/>
          <w:sz w:val="24"/>
          <w:szCs w:val="24"/>
        </w:rPr>
        <w:t xml:space="preserve">    3）填写申请书之前，必须先填好个人证件类型；申请人及主要参与者均应当使用唯一身份证件申请项目，曾经使用其他身份证件作为申请人或主要参与者获得过项目资助的，应当在申请书中说明，否则按不端行为处理，依托单位负有审核责任。</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4"/>
        </w:rPr>
      </w:pPr>
      <w:r w:rsidRPr="00270638">
        <w:rPr>
          <w:rFonts w:ascii="宋体" w:eastAsia="宋体" w:hAnsi="宋体" w:cs="Tahoma" w:hint="eastAsia"/>
          <w:color w:val="000000"/>
          <w:kern w:val="0"/>
          <w:sz w:val="24"/>
          <w:szCs w:val="24"/>
        </w:rPr>
        <w:t xml:space="preserve">    4）填写申请书之前，需认真阅读“诚信须知”及“填报须知”，并点击“接受”。“诚信须知”参见</w:t>
      </w:r>
      <w:hyperlink r:id="rId7" w:history="1">
        <w:r w:rsidRPr="00270638">
          <w:rPr>
            <w:rFonts w:ascii="宋体" w:eastAsia="宋体" w:hAnsi="宋体" w:cs="Tahoma" w:hint="eastAsia"/>
            <w:color w:val="000000"/>
            <w:kern w:val="0"/>
            <w:sz w:val="24"/>
            <w:szCs w:val="24"/>
          </w:rPr>
          <w:t>http://www.nsfc.gov.cn/nsfc/cen/2015sqsl/fj/cxxz_2015.pdf</w:t>
        </w:r>
      </w:hyperlink>
      <w:r w:rsidRPr="00270638">
        <w:rPr>
          <w:rFonts w:ascii="宋体" w:eastAsia="宋体" w:hAnsi="宋体" w:cs="Tahoma" w:hint="eastAsia"/>
          <w:color w:val="000000"/>
          <w:kern w:val="0"/>
          <w:sz w:val="24"/>
          <w:szCs w:val="24"/>
        </w:rPr>
        <w:t>。</w:t>
      </w: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1"/>
        </w:rPr>
      </w:pPr>
    </w:p>
    <w:p w:rsidR="00270638" w:rsidRPr="00270638" w:rsidRDefault="00270638" w:rsidP="00270638">
      <w:pPr>
        <w:widowControl/>
        <w:wordWrap w:val="0"/>
        <w:spacing w:line="360" w:lineRule="auto"/>
        <w:ind w:left="357" w:hanging="357"/>
        <w:jc w:val="left"/>
        <w:rPr>
          <w:rFonts w:ascii="宋体" w:eastAsia="宋体" w:hAnsi="宋体" w:cs="宋体"/>
          <w:color w:val="000000"/>
          <w:kern w:val="0"/>
          <w:sz w:val="24"/>
          <w:szCs w:val="24"/>
        </w:rPr>
      </w:pPr>
      <w:r w:rsidRPr="00270638">
        <w:rPr>
          <w:rFonts w:ascii="Calibri" w:eastAsia="宋体" w:hAnsi="Calibri" w:cs="Calibri"/>
          <w:color w:val="000000"/>
          <w:kern w:val="0"/>
          <w:sz w:val="24"/>
          <w:szCs w:val="21"/>
        </w:rPr>
        <w:t>2</w:t>
      </w:r>
      <w:r w:rsidRPr="00270638">
        <w:rPr>
          <w:rFonts w:ascii="Calibri" w:eastAsia="宋体" w:hAnsi="Calibri" w:cs="Tahoma" w:hint="eastAsia"/>
          <w:color w:val="000000"/>
          <w:kern w:val="0"/>
          <w:sz w:val="24"/>
          <w:szCs w:val="21"/>
        </w:rPr>
        <w:t>、</w:t>
      </w:r>
      <w:r w:rsidRPr="00270638">
        <w:rPr>
          <w:rFonts w:ascii="Times New Roman" w:eastAsia="宋体" w:hAnsi="Times New Roman" w:cs="Times New Roman"/>
          <w:color w:val="000000"/>
          <w:kern w:val="0"/>
          <w:sz w:val="14"/>
          <w:szCs w:val="14"/>
        </w:rPr>
        <w:t> </w:t>
      </w:r>
      <w:r w:rsidRPr="00270638">
        <w:rPr>
          <w:rFonts w:ascii="宋体" w:eastAsia="宋体" w:hAnsi="宋体" w:cs="Tahoma" w:hint="eastAsia"/>
          <w:b/>
          <w:bCs/>
          <w:color w:val="000000"/>
          <w:kern w:val="0"/>
          <w:sz w:val="24"/>
          <w:szCs w:val="24"/>
        </w:rPr>
        <w:t>规范化选择</w:t>
      </w:r>
      <w:r w:rsidRPr="00270638">
        <w:rPr>
          <w:rFonts w:ascii="宋体" w:eastAsia="宋体" w:hAnsi="宋体" w:cs="Tahoma" w:hint="eastAsia"/>
          <w:color w:val="000000"/>
          <w:kern w:val="0"/>
          <w:sz w:val="24"/>
          <w:szCs w:val="24"/>
        </w:rPr>
        <w:t>：</w:t>
      </w:r>
      <w:r w:rsidRPr="00270638">
        <w:rPr>
          <w:rFonts w:ascii="Calibri" w:eastAsia="宋体" w:hAnsi="Calibri" w:cs="Calibri"/>
          <w:color w:val="000000"/>
          <w:kern w:val="0"/>
          <w:sz w:val="24"/>
          <w:szCs w:val="24"/>
        </w:rPr>
        <w:t>2015</w:t>
      </w:r>
      <w:r w:rsidRPr="00270638">
        <w:rPr>
          <w:rFonts w:ascii="Calibri" w:eastAsia="宋体" w:hAnsi="Calibri" w:cs="宋体" w:hint="eastAsia"/>
          <w:color w:val="000000"/>
          <w:kern w:val="0"/>
          <w:sz w:val="24"/>
          <w:szCs w:val="24"/>
        </w:rPr>
        <w:t>年试行</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申请代码</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研究方向</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和</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关键词</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的规范化选择，申请人在填写申请书简表时，准确选择</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申请代码</w:t>
      </w:r>
      <w:r w:rsidRPr="00270638">
        <w:rPr>
          <w:rFonts w:ascii="Calibri" w:eastAsia="宋体" w:hAnsi="Calibri" w:cs="Calibri"/>
          <w:color w:val="000000"/>
          <w:kern w:val="0"/>
          <w:sz w:val="24"/>
          <w:szCs w:val="24"/>
        </w:rPr>
        <w:t>1”</w:t>
      </w:r>
      <w:r w:rsidRPr="00270638">
        <w:rPr>
          <w:rFonts w:ascii="Calibri" w:eastAsia="宋体" w:hAnsi="Calibri" w:cs="宋体" w:hint="eastAsia"/>
          <w:color w:val="000000"/>
          <w:kern w:val="0"/>
          <w:sz w:val="24"/>
          <w:szCs w:val="24"/>
        </w:rPr>
        <w:t>及其相应的</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研究方向</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和</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关键词</w:t>
      </w:r>
      <w:r w:rsidRPr="00270638">
        <w:rPr>
          <w:rFonts w:ascii="Calibri" w:eastAsia="宋体" w:hAnsi="Calibri" w:cs="Calibri"/>
          <w:color w:val="000000"/>
          <w:kern w:val="0"/>
          <w:sz w:val="24"/>
          <w:szCs w:val="24"/>
        </w:rPr>
        <w:t>”</w:t>
      </w:r>
      <w:r w:rsidRPr="00270638">
        <w:rPr>
          <w:rFonts w:ascii="Calibri" w:eastAsia="宋体" w:hAnsi="Calibri" w:cs="宋体" w:hint="eastAsia"/>
          <w:color w:val="000000"/>
          <w:kern w:val="0"/>
          <w:sz w:val="24"/>
          <w:szCs w:val="24"/>
        </w:rPr>
        <w:t>内容。请注意，医学科学部</w:t>
      </w:r>
      <w:r w:rsidRPr="00270638">
        <w:rPr>
          <w:rFonts w:ascii="Calibri" w:eastAsia="宋体" w:hAnsi="Calibri" w:cs="Calibri"/>
          <w:color w:val="000000"/>
          <w:kern w:val="0"/>
          <w:sz w:val="24"/>
          <w:szCs w:val="24"/>
        </w:rPr>
        <w:t>2015</w:t>
      </w:r>
      <w:r w:rsidRPr="00270638">
        <w:rPr>
          <w:rFonts w:ascii="Calibri" w:eastAsia="宋体" w:hAnsi="Calibri" w:cs="宋体" w:hint="eastAsia"/>
          <w:color w:val="000000"/>
          <w:kern w:val="0"/>
          <w:sz w:val="24"/>
          <w:szCs w:val="24"/>
        </w:rPr>
        <w:t>年以下领域试行规范化选择，即申请代码为</w:t>
      </w:r>
      <w:r w:rsidRPr="00270638">
        <w:rPr>
          <w:rFonts w:ascii="Calibri" w:eastAsia="宋体" w:hAnsi="Calibri" w:cs="Calibri"/>
          <w:color w:val="000000"/>
          <w:kern w:val="0"/>
          <w:sz w:val="24"/>
          <w:szCs w:val="24"/>
        </w:rPr>
        <w:t>H01</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H03</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H05</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H07</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H08</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H12</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H13</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H14</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H1615-H1626</w:t>
      </w:r>
      <w:r w:rsidRPr="00270638">
        <w:rPr>
          <w:rFonts w:ascii="Calibri" w:eastAsia="宋体" w:hAnsi="Calibri" w:cs="宋体" w:hint="eastAsia"/>
          <w:color w:val="000000"/>
          <w:kern w:val="0"/>
          <w:sz w:val="24"/>
          <w:szCs w:val="24"/>
        </w:rPr>
        <w:t>，其中，</w:t>
      </w:r>
      <w:r w:rsidRPr="00270638">
        <w:rPr>
          <w:rFonts w:ascii="Calibri" w:eastAsia="宋体" w:hAnsi="Calibri" w:cs="Calibri"/>
          <w:color w:val="000000"/>
          <w:kern w:val="0"/>
          <w:sz w:val="24"/>
          <w:szCs w:val="24"/>
        </w:rPr>
        <w:t>H13</w:t>
      </w:r>
      <w:r w:rsidRPr="00270638">
        <w:rPr>
          <w:rFonts w:ascii="Calibri" w:eastAsia="宋体" w:hAnsi="Calibri" w:cs="宋体" w:hint="eastAsia"/>
          <w:color w:val="000000"/>
          <w:kern w:val="0"/>
          <w:sz w:val="24"/>
          <w:szCs w:val="24"/>
        </w:rPr>
        <w:t>、</w:t>
      </w:r>
      <w:r w:rsidRPr="00270638">
        <w:rPr>
          <w:rFonts w:ascii="Calibri" w:eastAsia="宋体" w:hAnsi="Calibri" w:cs="Calibri"/>
          <w:color w:val="000000"/>
          <w:kern w:val="0"/>
          <w:sz w:val="24"/>
          <w:szCs w:val="24"/>
        </w:rPr>
        <w:t>H1615-H1626</w:t>
      </w:r>
      <w:r w:rsidRPr="00270638">
        <w:rPr>
          <w:rFonts w:ascii="Calibri" w:eastAsia="宋体" w:hAnsi="Calibri" w:cs="宋体" w:hint="eastAsia"/>
          <w:color w:val="000000"/>
          <w:kern w:val="0"/>
          <w:sz w:val="24"/>
          <w:szCs w:val="24"/>
        </w:rPr>
        <w:t>申请代码下列出的关键词必选其一。</w:t>
      </w:r>
    </w:p>
    <w:p w:rsidR="00270638" w:rsidRPr="00270638" w:rsidRDefault="00270638" w:rsidP="00270638">
      <w:pPr>
        <w:widowControl/>
        <w:wordWrap w:val="0"/>
        <w:spacing w:line="360" w:lineRule="auto"/>
        <w:jc w:val="left"/>
        <w:rPr>
          <w:rFonts w:ascii="宋体" w:eastAsia="宋体" w:hAnsi="宋体" w:cs="Tahoma"/>
          <w:color w:val="000000"/>
          <w:kern w:val="0"/>
          <w:sz w:val="24"/>
          <w:szCs w:val="21"/>
        </w:rPr>
      </w:pPr>
    </w:p>
    <w:p w:rsidR="00270638" w:rsidRPr="00270638" w:rsidRDefault="00270638" w:rsidP="00270638">
      <w:pPr>
        <w:widowControl/>
        <w:wordWrap w:val="0"/>
        <w:jc w:val="left"/>
        <w:rPr>
          <w:rFonts w:ascii="宋体" w:eastAsia="宋体" w:hAnsi="宋体" w:cs="宋体"/>
          <w:color w:val="000000"/>
          <w:kern w:val="0"/>
          <w:sz w:val="24"/>
          <w:szCs w:val="21"/>
        </w:rPr>
      </w:pPr>
      <w:r w:rsidRPr="00270638">
        <w:rPr>
          <w:rFonts w:ascii="宋体" w:eastAsia="宋体" w:hAnsi="宋体" w:cs="宋体" w:hint="eastAsia"/>
          <w:b/>
          <w:bCs/>
          <w:color w:val="000000"/>
          <w:kern w:val="0"/>
          <w:sz w:val="28"/>
          <w:szCs w:val="28"/>
        </w:rPr>
        <w:t>三、资格</w:t>
      </w:r>
    </w:p>
    <w:p w:rsidR="00270638" w:rsidRPr="00270638" w:rsidRDefault="00270638" w:rsidP="00270638">
      <w:pPr>
        <w:widowControl/>
        <w:wordWrap w:val="0"/>
        <w:spacing w:line="360" w:lineRule="auto"/>
        <w:ind w:left="357" w:hanging="357"/>
        <w:jc w:val="left"/>
        <w:rPr>
          <w:rFonts w:ascii="宋体" w:eastAsia="宋体" w:hAnsi="宋体" w:cs="Tahoma"/>
          <w:color w:val="000000"/>
          <w:kern w:val="0"/>
          <w:sz w:val="24"/>
          <w:szCs w:val="24"/>
        </w:rPr>
      </w:pPr>
    </w:p>
    <w:p w:rsidR="00270638" w:rsidRPr="00270638" w:rsidRDefault="00270638" w:rsidP="00270638">
      <w:pPr>
        <w:widowControl/>
        <w:wordWrap w:val="0"/>
        <w:spacing w:line="360" w:lineRule="auto"/>
        <w:ind w:left="357" w:hanging="357"/>
        <w:jc w:val="left"/>
        <w:rPr>
          <w:rFonts w:ascii="宋体" w:eastAsia="宋体" w:hAnsi="宋体" w:cs="Tahoma" w:hint="eastAsia"/>
          <w:color w:val="000000"/>
          <w:kern w:val="0"/>
          <w:sz w:val="24"/>
          <w:szCs w:val="21"/>
        </w:rPr>
      </w:pPr>
      <w:r w:rsidRPr="00270638">
        <w:rPr>
          <w:rFonts w:ascii="Times New Roman" w:eastAsia="宋体" w:hAnsi="Times New Roman" w:cs="Times New Roman"/>
          <w:color w:val="000000"/>
          <w:kern w:val="0"/>
          <w:sz w:val="14"/>
          <w:szCs w:val="14"/>
        </w:rPr>
        <w:t> </w:t>
      </w:r>
      <w:r w:rsidRPr="00270638">
        <w:rPr>
          <w:rFonts w:ascii="宋体" w:eastAsia="宋体" w:hAnsi="宋体" w:cs="Tahoma" w:hint="eastAsia"/>
          <w:b/>
          <w:color w:val="000000"/>
          <w:kern w:val="0"/>
          <w:sz w:val="24"/>
          <w:szCs w:val="24"/>
        </w:rPr>
        <w:t>无工作单位或者所在单位不是依托单位的科学技术人员</w:t>
      </w:r>
      <w:r w:rsidRPr="00270638">
        <w:rPr>
          <w:rFonts w:ascii="宋体" w:eastAsia="宋体" w:hAnsi="宋体" w:cs="Tahoma" w:hint="eastAsia"/>
          <w:color w:val="000000"/>
          <w:kern w:val="0"/>
          <w:sz w:val="24"/>
          <w:szCs w:val="24"/>
        </w:rPr>
        <w:t>，经与在自然科学基金委注册的依托单位协商，并取得该依托单位的同意，可以申请面上项目、青年科学基金项目，不得申请其他类型项目。该类人员申请项目时，应当在申请书基本信息表中如实填写个人信息，在个人简历部分详细介绍本人以往研究工作情况，并提供</w:t>
      </w:r>
      <w:r w:rsidRPr="00270638">
        <w:rPr>
          <w:rFonts w:ascii="黑体" w:eastAsia="黑体" w:hAnsi="宋体" w:cs="Tahoma" w:hint="eastAsia"/>
          <w:color w:val="000000"/>
          <w:kern w:val="0"/>
          <w:sz w:val="24"/>
          <w:szCs w:val="24"/>
        </w:rPr>
        <w:t>与依托单位签订的书面合同</w:t>
      </w:r>
      <w:r w:rsidRPr="00270638">
        <w:rPr>
          <w:rFonts w:ascii="宋体" w:eastAsia="宋体" w:hAnsi="宋体" w:cs="Tahoma" w:hint="eastAsia"/>
          <w:color w:val="000000"/>
          <w:kern w:val="0"/>
          <w:sz w:val="24"/>
          <w:szCs w:val="24"/>
        </w:rPr>
        <w:t>，作为附件随纸质申请书一并报送。</w:t>
      </w:r>
    </w:p>
    <w:p w:rsidR="00270638" w:rsidRPr="00270638" w:rsidRDefault="00270638" w:rsidP="00270638">
      <w:pPr>
        <w:widowControl/>
        <w:wordWrap w:val="0"/>
        <w:spacing w:line="360" w:lineRule="auto"/>
        <w:ind w:left="357" w:hanging="357"/>
        <w:jc w:val="left"/>
        <w:rPr>
          <w:rFonts w:ascii="宋体" w:eastAsia="宋体" w:hAnsi="宋体" w:cs="Tahoma"/>
          <w:color w:val="000000"/>
          <w:kern w:val="0"/>
          <w:sz w:val="24"/>
          <w:szCs w:val="21"/>
        </w:rPr>
      </w:pPr>
      <w:r w:rsidRPr="00270638">
        <w:rPr>
          <w:rFonts w:ascii="宋体" w:eastAsia="宋体" w:hAnsi="宋体" w:cs="Tahoma" w:hint="eastAsia"/>
          <w:color w:val="000000"/>
          <w:kern w:val="0"/>
          <w:sz w:val="24"/>
          <w:szCs w:val="24"/>
        </w:rPr>
        <w:t>其他资格变化情况请参见“2014年项目指南新变化”。</w:t>
      </w:r>
    </w:p>
    <w:p w:rsidR="00270638" w:rsidRPr="00270638" w:rsidRDefault="00270638" w:rsidP="00270638">
      <w:pPr>
        <w:widowControl/>
        <w:wordWrap w:val="0"/>
        <w:jc w:val="left"/>
        <w:rPr>
          <w:rFonts w:ascii="宋体" w:eastAsia="宋体" w:hAnsi="宋体" w:cs="宋体"/>
          <w:color w:val="000000"/>
          <w:kern w:val="0"/>
          <w:sz w:val="24"/>
          <w:szCs w:val="24"/>
        </w:rPr>
      </w:pPr>
    </w:p>
    <w:p w:rsidR="00270638" w:rsidRPr="00270638" w:rsidRDefault="00270638" w:rsidP="00270638">
      <w:pPr>
        <w:widowControl/>
        <w:wordWrap w:val="0"/>
        <w:jc w:val="left"/>
        <w:rPr>
          <w:rFonts w:ascii="宋体" w:eastAsia="宋体" w:hAnsi="宋体" w:cs="宋体"/>
          <w:b/>
          <w:bCs/>
          <w:color w:val="000000"/>
          <w:kern w:val="0"/>
          <w:sz w:val="28"/>
          <w:szCs w:val="28"/>
        </w:rPr>
      </w:pPr>
      <w:r w:rsidRPr="00270638">
        <w:rPr>
          <w:rFonts w:ascii="宋体" w:eastAsia="宋体" w:hAnsi="宋体" w:cs="宋体" w:hint="eastAsia"/>
          <w:b/>
          <w:bCs/>
          <w:color w:val="000000"/>
          <w:kern w:val="0"/>
          <w:sz w:val="28"/>
          <w:szCs w:val="28"/>
        </w:rPr>
        <w:t>三、经费预算</w:t>
      </w:r>
    </w:p>
    <w:p w:rsidR="00270638" w:rsidRPr="00270638" w:rsidRDefault="00270638" w:rsidP="00270638">
      <w:pPr>
        <w:widowControl/>
        <w:wordWrap w:val="0"/>
        <w:jc w:val="left"/>
        <w:rPr>
          <w:rFonts w:ascii="宋体" w:eastAsia="宋体" w:hAnsi="宋体" w:cs="宋体" w:hint="eastAsia"/>
          <w:color w:val="000000"/>
          <w:kern w:val="0"/>
          <w:sz w:val="24"/>
          <w:szCs w:val="24"/>
        </w:rPr>
      </w:pPr>
    </w:p>
    <w:p w:rsidR="00270638" w:rsidRPr="00270638" w:rsidRDefault="00270638" w:rsidP="00270638">
      <w:pPr>
        <w:widowControl/>
        <w:wordWrap w:val="0"/>
        <w:spacing w:line="360" w:lineRule="auto"/>
        <w:ind w:left="357" w:hanging="357"/>
        <w:jc w:val="left"/>
        <w:rPr>
          <w:rFonts w:ascii="宋体" w:eastAsia="宋体" w:hAnsi="宋体" w:cs="Tahoma"/>
          <w:color w:val="000000"/>
          <w:kern w:val="0"/>
          <w:sz w:val="24"/>
          <w:szCs w:val="24"/>
        </w:rPr>
      </w:pPr>
      <w:r w:rsidRPr="00270638">
        <w:rPr>
          <w:rFonts w:ascii="宋体" w:eastAsia="宋体" w:hAnsi="宋体" w:cs="Tahoma" w:hint="eastAsia"/>
          <w:color w:val="000000"/>
          <w:kern w:val="0"/>
          <w:sz w:val="24"/>
          <w:szCs w:val="24"/>
        </w:rPr>
        <w:lastRenderedPageBreak/>
        <w:t>1、自2015年起，各类项目申请经费分为直接费用和间接费用2部分。</w:t>
      </w:r>
      <w:r w:rsidRPr="00270638">
        <w:rPr>
          <w:rFonts w:ascii="宋体" w:eastAsia="宋体" w:hAnsi="宋体" w:cs="Tahoma" w:hint="eastAsia"/>
          <w:b/>
          <w:color w:val="000000"/>
          <w:kern w:val="0"/>
          <w:sz w:val="24"/>
          <w:szCs w:val="24"/>
        </w:rPr>
        <w:t>《指南》列出的资助强度：为直接费用和间接费用之</w:t>
      </w:r>
      <w:proofErr w:type="gramStart"/>
      <w:r w:rsidRPr="00270638">
        <w:rPr>
          <w:rFonts w:ascii="宋体" w:eastAsia="宋体" w:hAnsi="宋体" w:cs="Tahoma" w:hint="eastAsia"/>
          <w:b/>
          <w:color w:val="000000"/>
          <w:kern w:val="0"/>
          <w:sz w:val="24"/>
          <w:szCs w:val="24"/>
        </w:rPr>
        <w:t>和</w:t>
      </w:r>
      <w:proofErr w:type="gramEnd"/>
      <w:r w:rsidRPr="00270638">
        <w:rPr>
          <w:rFonts w:ascii="宋体" w:eastAsia="宋体" w:hAnsi="宋体" w:cs="Tahoma" w:hint="eastAsia"/>
          <w:b/>
          <w:color w:val="000000"/>
          <w:kern w:val="0"/>
          <w:sz w:val="24"/>
          <w:szCs w:val="24"/>
        </w:rPr>
        <w:t>。</w:t>
      </w:r>
    </w:p>
    <w:p w:rsidR="00270638" w:rsidRPr="00270638" w:rsidRDefault="00270638" w:rsidP="00270638">
      <w:pPr>
        <w:widowControl/>
        <w:wordWrap w:val="0"/>
        <w:spacing w:line="360" w:lineRule="auto"/>
        <w:ind w:left="357" w:hanging="357"/>
        <w:jc w:val="left"/>
        <w:rPr>
          <w:rFonts w:ascii="宋体" w:eastAsia="宋体" w:hAnsi="宋体" w:cs="宋体" w:hint="eastAsia"/>
          <w:color w:val="000000"/>
          <w:kern w:val="0"/>
          <w:sz w:val="24"/>
          <w:szCs w:val="24"/>
        </w:rPr>
      </w:pPr>
      <w:r w:rsidRPr="00270638">
        <w:rPr>
          <w:rFonts w:ascii="宋体" w:eastAsia="宋体" w:hAnsi="宋体" w:cs="Tahoma" w:hint="eastAsia"/>
          <w:color w:val="000000"/>
          <w:kern w:val="0"/>
          <w:sz w:val="24"/>
          <w:szCs w:val="24"/>
        </w:rPr>
        <w:t>2、</w:t>
      </w:r>
      <w:r w:rsidRPr="00270638">
        <w:rPr>
          <w:rFonts w:ascii="宋体" w:eastAsia="宋体" w:hAnsi="宋体" w:cs="宋体" w:hint="eastAsia"/>
          <w:b/>
          <w:color w:val="000000"/>
          <w:kern w:val="0"/>
          <w:sz w:val="24"/>
          <w:szCs w:val="24"/>
        </w:rPr>
        <w:t>直接费用</w:t>
      </w:r>
      <w:r w:rsidRPr="00270638">
        <w:rPr>
          <w:rFonts w:ascii="宋体" w:eastAsia="宋体" w:hAnsi="宋体" w:cs="宋体" w:hint="eastAsia"/>
          <w:color w:val="000000"/>
          <w:kern w:val="0"/>
          <w:sz w:val="24"/>
          <w:szCs w:val="24"/>
        </w:rPr>
        <w:t>：包括设备费、材料费、测试化验加工费、燃料动力费、差旅费、会议费、国际合作与交流费、出版/文献/信息传播/知识产权事务费、劳务费、专家咨询费及其他支出。直接经费中的国际合作与交流费、会议费及差旅费在总额不变的前提下可以打通使用；取消劳务费的比例，劳务费据实列支，要求做到人数、工作时间准确，给付强度合情合理。</w:t>
      </w:r>
    </w:p>
    <w:p w:rsidR="00270638" w:rsidRPr="00270638" w:rsidRDefault="00270638" w:rsidP="00270638">
      <w:pPr>
        <w:widowControl/>
        <w:wordWrap w:val="0"/>
        <w:spacing w:line="360" w:lineRule="auto"/>
        <w:ind w:left="357" w:hanging="357"/>
        <w:jc w:val="left"/>
        <w:rPr>
          <w:rFonts w:ascii="宋体" w:eastAsia="宋体" w:hAnsi="宋体" w:cs="宋体" w:hint="eastAsia"/>
          <w:color w:val="000000"/>
          <w:kern w:val="0"/>
          <w:sz w:val="24"/>
          <w:szCs w:val="24"/>
        </w:rPr>
      </w:pPr>
      <w:r w:rsidRPr="00270638">
        <w:rPr>
          <w:rFonts w:ascii="宋体" w:eastAsia="宋体" w:hAnsi="宋体" w:cs="Tahoma" w:hint="eastAsia"/>
          <w:color w:val="000000"/>
          <w:kern w:val="0"/>
          <w:sz w:val="24"/>
          <w:szCs w:val="24"/>
        </w:rPr>
        <w:t>3、</w:t>
      </w:r>
      <w:r w:rsidRPr="00270638">
        <w:rPr>
          <w:rFonts w:ascii="宋体" w:eastAsia="宋体" w:hAnsi="宋体" w:cs="宋体" w:hint="eastAsia"/>
          <w:b/>
          <w:color w:val="000000"/>
          <w:kern w:val="0"/>
          <w:sz w:val="24"/>
          <w:szCs w:val="24"/>
        </w:rPr>
        <w:t>间接费用</w:t>
      </w:r>
      <w:r w:rsidRPr="00270638">
        <w:rPr>
          <w:rFonts w:ascii="宋体" w:eastAsia="宋体" w:hAnsi="宋体" w:cs="宋体" w:hint="eastAsia"/>
          <w:color w:val="000000"/>
          <w:kern w:val="0"/>
          <w:sz w:val="24"/>
          <w:szCs w:val="24"/>
        </w:rPr>
        <w:t>：指依托单位在组织实施项目过程中发生的无法在直接费用中列支的相关费用，主要包括依托单位为项目研究提供的现有仪器设备及房屋，水、电、气、暖消耗，有关管理费用的补助支出，以及绩效支出等。间接费用的比例暂定500万元以下项目的间接费用比例为20％，500万元至1000万元为13％，1000万元以上则是10％。</w:t>
      </w:r>
    </w:p>
    <w:p w:rsidR="00270638" w:rsidRPr="00270638" w:rsidRDefault="00270638" w:rsidP="00270638">
      <w:pPr>
        <w:widowControl/>
        <w:wordWrap w:val="0"/>
        <w:spacing w:line="360" w:lineRule="auto"/>
        <w:ind w:left="357" w:hanging="357"/>
        <w:jc w:val="left"/>
        <w:rPr>
          <w:rFonts w:ascii="宋体" w:eastAsia="宋体" w:hAnsi="宋体" w:cs="宋体" w:hint="eastAsia"/>
          <w:color w:val="000000"/>
          <w:kern w:val="0"/>
          <w:sz w:val="24"/>
          <w:szCs w:val="24"/>
        </w:rPr>
      </w:pPr>
      <w:r w:rsidRPr="00270638">
        <w:rPr>
          <w:rFonts w:ascii="宋体" w:eastAsia="宋体" w:hAnsi="宋体" w:cs="Tahoma" w:hint="eastAsia"/>
          <w:color w:val="000000"/>
          <w:kern w:val="0"/>
          <w:sz w:val="24"/>
          <w:szCs w:val="24"/>
        </w:rPr>
        <w:t>4、</w:t>
      </w:r>
      <w:r w:rsidRPr="00270638">
        <w:rPr>
          <w:rFonts w:ascii="宋体" w:eastAsia="宋体" w:hAnsi="宋体" w:cs="宋体" w:hint="eastAsia"/>
          <w:b/>
          <w:color w:val="000000"/>
          <w:kern w:val="0"/>
          <w:sz w:val="24"/>
          <w:szCs w:val="24"/>
        </w:rPr>
        <w:t>申请人只需填报直接费用部分</w:t>
      </w:r>
      <w:r w:rsidRPr="00270638">
        <w:rPr>
          <w:rFonts w:ascii="宋体" w:eastAsia="宋体" w:hAnsi="宋体" w:cs="宋体" w:hint="eastAsia"/>
          <w:color w:val="000000"/>
          <w:kern w:val="0"/>
          <w:sz w:val="24"/>
          <w:szCs w:val="24"/>
        </w:rPr>
        <w:t>，间接费用及项目</w:t>
      </w:r>
      <w:proofErr w:type="gramStart"/>
      <w:r w:rsidRPr="00270638">
        <w:rPr>
          <w:rFonts w:ascii="宋体" w:eastAsia="宋体" w:hAnsi="宋体" w:cs="宋体" w:hint="eastAsia"/>
          <w:color w:val="000000"/>
          <w:kern w:val="0"/>
          <w:sz w:val="24"/>
          <w:szCs w:val="24"/>
        </w:rPr>
        <w:t>申请总</w:t>
      </w:r>
      <w:proofErr w:type="gramEnd"/>
      <w:r w:rsidRPr="00270638">
        <w:rPr>
          <w:rFonts w:ascii="宋体" w:eastAsia="宋体" w:hAnsi="宋体" w:cs="宋体" w:hint="eastAsia"/>
          <w:color w:val="000000"/>
          <w:kern w:val="0"/>
          <w:sz w:val="24"/>
          <w:szCs w:val="24"/>
        </w:rPr>
        <w:t>经费在申请书中自动生成。</w:t>
      </w:r>
    </w:p>
    <w:p w:rsidR="00270638" w:rsidRPr="00270638" w:rsidRDefault="00270638" w:rsidP="00270638">
      <w:pPr>
        <w:widowControl/>
        <w:wordWrap w:val="0"/>
        <w:spacing w:line="360" w:lineRule="auto"/>
        <w:ind w:left="357" w:hanging="357"/>
        <w:jc w:val="left"/>
        <w:rPr>
          <w:rFonts w:ascii="宋体" w:eastAsia="宋体" w:hAnsi="宋体" w:cs="宋体" w:hint="eastAsia"/>
          <w:color w:val="000000"/>
          <w:kern w:val="0"/>
          <w:sz w:val="24"/>
          <w:szCs w:val="24"/>
        </w:rPr>
      </w:pPr>
      <w:r w:rsidRPr="00270638">
        <w:rPr>
          <w:rFonts w:ascii="宋体" w:eastAsia="宋体" w:hAnsi="宋体" w:cs="Tahoma" w:hint="eastAsia"/>
          <w:color w:val="000000"/>
          <w:kern w:val="0"/>
          <w:sz w:val="24"/>
          <w:szCs w:val="24"/>
        </w:rPr>
        <w:t>5、</w:t>
      </w:r>
      <w:r w:rsidRPr="00270638">
        <w:rPr>
          <w:rFonts w:ascii="宋体" w:eastAsia="宋体" w:hAnsi="宋体" w:cs="宋体" w:hint="eastAsia"/>
          <w:color w:val="000000"/>
          <w:kern w:val="0"/>
          <w:sz w:val="24"/>
          <w:szCs w:val="24"/>
        </w:rPr>
        <w:t>申请人应根据拟开展的研究工作实际需要实事求是地填写经费预算。经费预算表中经费单位均为“万元”。</w:t>
      </w:r>
    </w:p>
    <w:p w:rsidR="00187253" w:rsidRPr="00270638" w:rsidRDefault="00270638" w:rsidP="00270638">
      <w:pPr>
        <w:widowControl/>
        <w:wordWrap w:val="0"/>
        <w:spacing w:line="360" w:lineRule="auto"/>
        <w:ind w:left="357" w:hanging="357"/>
        <w:jc w:val="left"/>
        <w:rPr>
          <w:rFonts w:ascii="宋体" w:eastAsia="宋体" w:hAnsi="宋体" w:cs="宋体" w:hint="eastAsia"/>
          <w:color w:val="000000"/>
          <w:kern w:val="0"/>
          <w:sz w:val="24"/>
          <w:szCs w:val="24"/>
        </w:rPr>
      </w:pPr>
      <w:r w:rsidRPr="00270638">
        <w:rPr>
          <w:rFonts w:ascii="宋体" w:eastAsia="宋体" w:hAnsi="宋体" w:cs="宋体" w:hint="eastAsia"/>
          <w:color w:val="000000"/>
          <w:kern w:val="0"/>
          <w:sz w:val="24"/>
          <w:szCs w:val="24"/>
        </w:rPr>
        <w:t>6、上述经费预算相关的问题请严格按照修订后即将正式颁布的《国家自然科学基金资助项目资金管理办法》执行。</w:t>
      </w:r>
      <w:bookmarkStart w:id="0" w:name="_GoBack"/>
      <w:bookmarkEnd w:id="0"/>
    </w:p>
    <w:sectPr w:rsidR="00187253" w:rsidRPr="00270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38"/>
    <w:rsid w:val="00187253"/>
    <w:rsid w:val="00270638"/>
    <w:rsid w:val="00E6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9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9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7235">
      <w:bodyDiv w:val="1"/>
      <w:marLeft w:val="0"/>
      <w:marRight w:val="0"/>
      <w:marTop w:val="0"/>
      <w:marBottom w:val="0"/>
      <w:divBdr>
        <w:top w:val="none" w:sz="0" w:space="0" w:color="auto"/>
        <w:left w:val="none" w:sz="0" w:space="0" w:color="auto"/>
        <w:bottom w:val="none" w:sz="0" w:space="0" w:color="auto"/>
        <w:right w:val="none" w:sz="0" w:space="0" w:color="auto"/>
      </w:divBdr>
      <w:divsChild>
        <w:div w:id="1453397552">
          <w:marLeft w:val="0"/>
          <w:marRight w:val="0"/>
          <w:marTop w:val="0"/>
          <w:marBottom w:val="0"/>
          <w:divBdr>
            <w:top w:val="none" w:sz="0" w:space="0" w:color="auto"/>
            <w:left w:val="none" w:sz="0" w:space="0" w:color="auto"/>
            <w:bottom w:val="none" w:sz="0" w:space="0" w:color="auto"/>
            <w:right w:val="none" w:sz="0" w:space="0" w:color="auto"/>
          </w:divBdr>
          <w:divsChild>
            <w:div w:id="187380017">
              <w:marLeft w:val="0"/>
              <w:marRight w:val="0"/>
              <w:marTop w:val="0"/>
              <w:marBottom w:val="120"/>
              <w:divBdr>
                <w:top w:val="none" w:sz="0" w:space="0" w:color="auto"/>
                <w:left w:val="none" w:sz="0" w:space="0" w:color="auto"/>
                <w:bottom w:val="none" w:sz="0" w:space="0" w:color="auto"/>
                <w:right w:val="none" w:sz="0" w:space="0" w:color="auto"/>
              </w:divBdr>
              <w:divsChild>
                <w:div w:id="1196773105">
                  <w:marLeft w:val="0"/>
                  <w:marRight w:val="0"/>
                  <w:marTop w:val="0"/>
                  <w:marBottom w:val="0"/>
                  <w:divBdr>
                    <w:top w:val="none" w:sz="0" w:space="0" w:color="auto"/>
                    <w:left w:val="none" w:sz="0" w:space="0" w:color="auto"/>
                    <w:bottom w:val="none" w:sz="0" w:space="0" w:color="auto"/>
                    <w:right w:val="none" w:sz="0" w:space="0" w:color="auto"/>
                  </w:divBdr>
                  <w:divsChild>
                    <w:div w:id="1544711811">
                      <w:marLeft w:val="0"/>
                      <w:marRight w:val="0"/>
                      <w:marTop w:val="0"/>
                      <w:marBottom w:val="0"/>
                      <w:divBdr>
                        <w:top w:val="none" w:sz="0" w:space="0" w:color="auto"/>
                        <w:left w:val="none" w:sz="0" w:space="0" w:color="auto"/>
                        <w:bottom w:val="none" w:sz="0" w:space="0" w:color="auto"/>
                        <w:right w:val="none" w:sz="0" w:space="0" w:color="auto"/>
                      </w:divBdr>
                      <w:divsChild>
                        <w:div w:id="416942430">
                          <w:marLeft w:val="0"/>
                          <w:marRight w:val="0"/>
                          <w:marTop w:val="0"/>
                          <w:marBottom w:val="0"/>
                          <w:divBdr>
                            <w:top w:val="none" w:sz="0" w:space="0" w:color="auto"/>
                            <w:left w:val="none" w:sz="0" w:space="0" w:color="auto"/>
                            <w:bottom w:val="none" w:sz="0" w:space="0" w:color="auto"/>
                            <w:right w:val="none" w:sz="0" w:space="0" w:color="auto"/>
                          </w:divBdr>
                          <w:divsChild>
                            <w:div w:id="13376146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79070">
      <w:bodyDiv w:val="1"/>
      <w:marLeft w:val="0"/>
      <w:marRight w:val="0"/>
      <w:marTop w:val="0"/>
      <w:marBottom w:val="0"/>
      <w:divBdr>
        <w:top w:val="none" w:sz="0" w:space="0" w:color="auto"/>
        <w:left w:val="none" w:sz="0" w:space="0" w:color="auto"/>
        <w:bottom w:val="none" w:sz="0" w:space="0" w:color="auto"/>
        <w:right w:val="none" w:sz="0" w:space="0" w:color="auto"/>
      </w:divBdr>
      <w:divsChild>
        <w:div w:id="2100590387">
          <w:marLeft w:val="0"/>
          <w:marRight w:val="0"/>
          <w:marTop w:val="0"/>
          <w:marBottom w:val="0"/>
          <w:divBdr>
            <w:top w:val="none" w:sz="0" w:space="0" w:color="auto"/>
            <w:left w:val="none" w:sz="0" w:space="0" w:color="auto"/>
            <w:bottom w:val="none" w:sz="0" w:space="0" w:color="auto"/>
            <w:right w:val="none" w:sz="0" w:space="0" w:color="auto"/>
          </w:divBdr>
          <w:divsChild>
            <w:div w:id="2088264536">
              <w:marLeft w:val="0"/>
              <w:marRight w:val="0"/>
              <w:marTop w:val="0"/>
              <w:marBottom w:val="120"/>
              <w:divBdr>
                <w:top w:val="none" w:sz="0" w:space="0" w:color="auto"/>
                <w:left w:val="none" w:sz="0" w:space="0" w:color="auto"/>
                <w:bottom w:val="none" w:sz="0" w:space="0" w:color="auto"/>
                <w:right w:val="none" w:sz="0" w:space="0" w:color="auto"/>
              </w:divBdr>
              <w:divsChild>
                <w:div w:id="1020398216">
                  <w:marLeft w:val="0"/>
                  <w:marRight w:val="0"/>
                  <w:marTop w:val="0"/>
                  <w:marBottom w:val="0"/>
                  <w:divBdr>
                    <w:top w:val="none" w:sz="0" w:space="0" w:color="auto"/>
                    <w:left w:val="none" w:sz="0" w:space="0" w:color="auto"/>
                    <w:bottom w:val="none" w:sz="0" w:space="0" w:color="auto"/>
                    <w:right w:val="none" w:sz="0" w:space="0" w:color="auto"/>
                  </w:divBdr>
                  <w:divsChild>
                    <w:div w:id="805507522">
                      <w:marLeft w:val="0"/>
                      <w:marRight w:val="0"/>
                      <w:marTop w:val="0"/>
                      <w:marBottom w:val="0"/>
                      <w:divBdr>
                        <w:top w:val="none" w:sz="0" w:space="0" w:color="auto"/>
                        <w:left w:val="none" w:sz="0" w:space="0" w:color="auto"/>
                        <w:bottom w:val="none" w:sz="0" w:space="0" w:color="auto"/>
                        <w:right w:val="none" w:sz="0" w:space="0" w:color="auto"/>
                      </w:divBdr>
                      <w:divsChild>
                        <w:div w:id="1933203106">
                          <w:marLeft w:val="0"/>
                          <w:marRight w:val="0"/>
                          <w:marTop w:val="0"/>
                          <w:marBottom w:val="0"/>
                          <w:divBdr>
                            <w:top w:val="none" w:sz="0" w:space="0" w:color="auto"/>
                            <w:left w:val="none" w:sz="0" w:space="0" w:color="auto"/>
                            <w:bottom w:val="none" w:sz="0" w:space="0" w:color="auto"/>
                            <w:right w:val="none" w:sz="0" w:space="0" w:color="auto"/>
                          </w:divBdr>
                          <w:divsChild>
                            <w:div w:id="4685235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nsfc/cen/2015sqsl/fj/cxxz_201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sisn.nsfc.gov.cn/egrantres/html/train.html" TargetMode="External"/><Relationship Id="rId5" Type="http://schemas.openxmlformats.org/officeDocument/2006/relationships/hyperlink" Target="http://isisn.nsfc.gov.cn/egrantres/miniiris/prp_t_us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328</Words>
  <Characters>1874</Characters>
  <Application>Microsoft Office Word</Application>
  <DocSecurity>0</DocSecurity>
  <Lines>15</Lines>
  <Paragraphs>4</Paragraphs>
  <ScaleCrop>false</ScaleCrop>
  <Company>WwW.YlmF.CoM</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中山一院科研科</dc:creator>
  <cp:keywords/>
  <dc:description/>
  <cp:lastModifiedBy>中山一院科研科</cp:lastModifiedBy>
  <cp:revision>1</cp:revision>
  <dcterms:created xsi:type="dcterms:W3CDTF">2015-01-28T09:29:00Z</dcterms:created>
  <dcterms:modified xsi:type="dcterms:W3CDTF">2015-01-28T09:35:00Z</dcterms:modified>
</cp:coreProperties>
</file>