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360" w:lineRule="auto"/>
        <w:ind w:firstLine="422" w:firstLineChars="15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广州市杏林卫生服务有限责任公司</w:t>
      </w:r>
    </w:p>
    <w:p>
      <w:pPr>
        <w:pStyle w:val="11"/>
        <w:spacing w:line="360" w:lineRule="auto"/>
        <w:ind w:firstLine="422" w:firstLineChars="15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贯穿式烘干机采购项目</w:t>
      </w:r>
      <w:r>
        <w:rPr>
          <w:rFonts w:hint="eastAsia" w:ascii="宋体" w:hAnsi="宋体" w:cs="宋体"/>
          <w:b/>
          <w:bCs/>
          <w:sz w:val="28"/>
          <w:szCs w:val="28"/>
          <w:lang w:val="en-US" w:eastAsia="zh-CN"/>
        </w:rPr>
        <w:t>二次</w:t>
      </w:r>
      <w:r>
        <w:rPr>
          <w:rFonts w:hint="eastAsia" w:ascii="宋体" w:hAnsi="宋体" w:eastAsia="宋体" w:cs="宋体"/>
          <w:b/>
          <w:bCs/>
          <w:sz w:val="28"/>
          <w:szCs w:val="28"/>
          <w:lang w:val="en-US" w:eastAsia="zh-CN"/>
        </w:rPr>
        <w:t>遴选需求书</w:t>
      </w:r>
    </w:p>
    <w:p>
      <w:pPr>
        <w:pStyle w:val="11"/>
        <w:spacing w:line="360" w:lineRule="auto"/>
        <w:ind w:firstLine="422" w:firstLineChars="150"/>
        <w:jc w:val="center"/>
        <w:rPr>
          <w:rFonts w:hint="eastAsia" w:ascii="宋体" w:hAnsi="宋体" w:eastAsia="宋体" w:cs="宋体"/>
          <w:b/>
          <w:bCs/>
          <w:sz w:val="28"/>
          <w:szCs w:val="28"/>
          <w:lang w:val="en-US" w:eastAsia="zh-CN"/>
        </w:rPr>
      </w:pPr>
    </w:p>
    <w:p>
      <w:pPr>
        <w:numPr>
          <w:ilvl w:val="0"/>
          <w:numId w:val="1"/>
        </w:numPr>
        <w:spacing w:line="360" w:lineRule="auto"/>
        <w:ind w:left="0" w:leftChars="0" w:firstLine="0" w:firstLineChars="0"/>
        <w:outlineLvl w:val="0"/>
        <w:rPr>
          <w:rFonts w:hint="eastAsia" w:ascii="宋体" w:hAnsi="宋体" w:eastAsia="宋体" w:cs="宋体"/>
          <w:b/>
          <w:sz w:val="24"/>
          <w:szCs w:val="24"/>
        </w:rPr>
      </w:pPr>
      <w:r>
        <w:rPr>
          <w:rFonts w:hint="eastAsia" w:ascii="宋体" w:hAnsi="宋体" w:eastAsia="宋体" w:cs="宋体"/>
          <w:b/>
          <w:sz w:val="24"/>
          <w:szCs w:val="24"/>
        </w:rPr>
        <w:t>项目概述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广州市杏林卫生服务有限责任公司因生产需要，拟采购3台贯穿式烘干机，确保3台烘干机在安装后与现有设备相连贯正常使用</w:t>
      </w:r>
      <w:r>
        <w:rPr>
          <w:rFonts w:hint="eastAsia" w:ascii="宋体" w:hAnsi="宋体" w:eastAsia="宋体" w:cs="宋体"/>
          <w:sz w:val="24"/>
          <w:szCs w:val="24"/>
        </w:rPr>
        <w:t>。</w:t>
      </w:r>
    </w:p>
    <w:p>
      <w:pPr>
        <w:numPr>
          <w:ilvl w:val="0"/>
          <w:numId w:val="1"/>
        </w:numPr>
        <w:spacing w:line="360" w:lineRule="auto"/>
        <w:ind w:left="0" w:leftChars="0" w:firstLine="0" w:firstLineChars="0"/>
        <w:outlineLvl w:val="0"/>
        <w:rPr>
          <w:rFonts w:hint="eastAsia" w:ascii="宋体" w:hAnsi="宋体" w:eastAsia="宋体" w:cs="宋体"/>
          <w:b/>
          <w:sz w:val="24"/>
          <w:szCs w:val="24"/>
        </w:rPr>
      </w:pPr>
      <w:r>
        <w:rPr>
          <w:rFonts w:hint="eastAsia" w:ascii="宋体" w:hAnsi="宋体" w:eastAsia="宋体" w:cs="宋体"/>
          <w:b/>
          <w:sz w:val="24"/>
          <w:szCs w:val="24"/>
        </w:rPr>
        <w:t>设备技术规范要求</w:t>
      </w:r>
    </w:p>
    <w:p>
      <w:pPr>
        <w:numPr>
          <w:ilvl w:val="0"/>
          <w:numId w:val="2"/>
        </w:numPr>
        <w:spacing w:line="360" w:lineRule="auto"/>
        <w:ind w:left="0" w:leftChars="0" w:firstLine="40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贯穿式烘干机的工作电源均采用三相交流380V（±10%）、50Hz（±1）。设备应能在环境温度-8~+45度的条件下，连续运行24小时以上。</w:t>
      </w:r>
    </w:p>
    <w:p>
      <w:pPr>
        <w:numPr>
          <w:ilvl w:val="0"/>
          <w:numId w:val="2"/>
        </w:numPr>
        <w:spacing w:line="360" w:lineRule="auto"/>
        <w:ind w:left="0" w:leftChars="0" w:firstLine="40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贯穿式烘干机的设计和制造应符合ISO标准。</w:t>
      </w:r>
    </w:p>
    <w:p>
      <w:pPr>
        <w:numPr>
          <w:ilvl w:val="0"/>
          <w:numId w:val="2"/>
        </w:numPr>
        <w:spacing w:line="360" w:lineRule="auto"/>
        <w:ind w:left="0" w:leftChars="0" w:firstLine="40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干布草装载量不小于120公斤。</w:t>
      </w:r>
    </w:p>
    <w:p>
      <w:pPr>
        <w:numPr>
          <w:ilvl w:val="0"/>
          <w:numId w:val="2"/>
        </w:numPr>
        <w:spacing w:line="360" w:lineRule="auto"/>
        <w:ind w:left="0" w:leftChars="0" w:firstLine="40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kern w:val="0"/>
          <w:sz w:val="24"/>
          <w:szCs w:val="24"/>
        </w:rPr>
        <w:t>▲风机变频</w:t>
      </w:r>
      <w:r>
        <w:rPr>
          <w:rFonts w:hint="eastAsia" w:ascii="宋体" w:hAnsi="宋体" w:eastAsia="宋体" w:cs="宋体"/>
          <w:color w:val="000000" w:themeColor="text1"/>
          <w:sz w:val="24"/>
          <w:szCs w:val="24"/>
          <w14:textFill>
            <w14:solidFill>
              <w14:schemeClr w14:val="tx1"/>
            </w14:solidFill>
          </w14:textFill>
        </w:rPr>
        <w:t>驱动</w:t>
      </w:r>
      <w:r>
        <w:rPr>
          <w:rFonts w:hint="eastAsia" w:ascii="宋体" w:hAnsi="宋体" w:eastAsia="宋体" w:cs="宋体"/>
          <w:color w:val="000000"/>
          <w:kern w:val="0"/>
          <w:sz w:val="24"/>
          <w:szCs w:val="24"/>
        </w:rPr>
        <w:t>、具备热能回收</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节能降耗、过滤网为不锈钢304材质。</w:t>
      </w:r>
    </w:p>
    <w:p>
      <w:pPr>
        <w:numPr>
          <w:ilvl w:val="0"/>
          <w:numId w:val="2"/>
        </w:numPr>
        <w:spacing w:line="360" w:lineRule="auto"/>
        <w:ind w:left="0" w:leftChars="0" w:firstLine="40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贯穿式烘干机的金属构件表面，除了加工装配面和电镀表面以外，都应进行防锈或喷涂处理。在装配前，对封闭结构的内表面也应有必要喷涂防锈处理。</w:t>
      </w:r>
    </w:p>
    <w:p>
      <w:pPr>
        <w:numPr>
          <w:ilvl w:val="0"/>
          <w:numId w:val="2"/>
        </w:numPr>
        <w:spacing w:line="360" w:lineRule="auto"/>
        <w:ind w:left="0" w:leftChars="0" w:firstLine="40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贯穿式烘干机应考虑与本公司整个系统设备之间的接口问题，在设备安</w:t>
      </w:r>
      <w:bookmarkStart w:id="0" w:name="_GoBack"/>
      <w:bookmarkEnd w:id="0"/>
      <w:r>
        <w:rPr>
          <w:rFonts w:hint="eastAsia" w:ascii="宋体" w:hAnsi="宋体" w:eastAsia="宋体" w:cs="宋体"/>
          <w:color w:val="000000" w:themeColor="text1"/>
          <w:sz w:val="24"/>
          <w:szCs w:val="24"/>
          <w14:textFill>
            <w14:solidFill>
              <w14:schemeClr w14:val="tx1"/>
            </w14:solidFill>
          </w14:textFill>
        </w:rPr>
        <w:t xml:space="preserve">装后，整个系统之间接口不应存在任何问题，供应商有责任解决接口问题，并负责解决问题的一切费用。                                                                                                                                                                                                                                                                                                                                                                              </w:t>
      </w:r>
    </w:p>
    <w:p>
      <w:pPr>
        <w:numPr>
          <w:ilvl w:val="0"/>
          <w:numId w:val="2"/>
        </w:numPr>
        <w:spacing w:line="360" w:lineRule="auto"/>
        <w:ind w:left="0" w:leftChars="0" w:firstLine="40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在技术规范中所述的相同规格的设备必须是可互换的，且设备零、备件也必须是可互换的。</w:t>
      </w:r>
    </w:p>
    <w:p>
      <w:pPr>
        <w:numPr>
          <w:ilvl w:val="0"/>
          <w:numId w:val="2"/>
        </w:numPr>
        <w:spacing w:line="360" w:lineRule="auto"/>
        <w:ind w:left="0" w:leftChars="0" w:firstLine="40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所供设备都应经过检验，并且具有有效的合格证。</w:t>
      </w:r>
    </w:p>
    <w:p>
      <w:pPr>
        <w:numPr>
          <w:ilvl w:val="0"/>
          <w:numId w:val="2"/>
        </w:numPr>
        <w:spacing w:line="360" w:lineRule="auto"/>
        <w:ind w:left="0" w:leftChars="0" w:firstLine="40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机械结构设备的总体机械结构应充分考虑安装、维护的方便和扩充容量。应具有足够的机械强度和刚度，设备的安装和固定方式应具有防振和抗震能力。应保证设备经过常规的运输、存储和安装后不产生破损、变形。设备危险部位应有特殊标志。</w:t>
      </w:r>
    </w:p>
    <w:p>
      <w:pPr>
        <w:numPr>
          <w:ilvl w:val="0"/>
          <w:numId w:val="2"/>
        </w:numPr>
        <w:spacing w:line="360" w:lineRule="auto"/>
        <w:ind w:left="0" w:leftChars="0" w:firstLine="40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设备的表面涂敷应满足防腐的要求。所有喷漆（塑）零件的表面应光滑平整、色泽一致。</w:t>
      </w:r>
    </w:p>
    <w:p>
      <w:pPr>
        <w:numPr>
          <w:ilvl w:val="0"/>
          <w:numId w:val="2"/>
        </w:numPr>
        <w:spacing w:line="360" w:lineRule="auto"/>
        <w:ind w:left="0" w:leftChars="0" w:firstLine="40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供应商均需提供端口与上位机信息化管理系统对接，便于采集生产数据和智能工厂管理。</w:t>
      </w:r>
    </w:p>
    <w:p>
      <w:pPr>
        <w:numPr>
          <w:ilvl w:val="0"/>
          <w:numId w:val="2"/>
        </w:numPr>
        <w:spacing w:line="360" w:lineRule="auto"/>
        <w:ind w:left="0" w:leftChars="0" w:firstLine="40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供应商在合同生效之日起一周内与招标方共同确认方案，并到设备使用场地进行设备进场至准备工作的指导与建议。</w:t>
      </w:r>
    </w:p>
    <w:p>
      <w:pPr>
        <w:numPr>
          <w:ilvl w:val="0"/>
          <w:numId w:val="2"/>
        </w:numPr>
        <w:spacing w:line="360" w:lineRule="auto"/>
        <w:ind w:left="0" w:leftChars="0" w:firstLine="40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设备要求符合相关的国际国家标准或企业标准。</w:t>
      </w:r>
    </w:p>
    <w:p>
      <w:pPr>
        <w:numPr>
          <w:ilvl w:val="0"/>
          <w:numId w:val="1"/>
        </w:numPr>
        <w:spacing w:line="360" w:lineRule="auto"/>
        <w:ind w:left="0" w:leftChars="0" w:firstLine="0" w:firstLineChars="0"/>
        <w:outlineLvl w:val="0"/>
        <w:rPr>
          <w:rFonts w:hint="eastAsia" w:ascii="宋体" w:hAnsi="宋体" w:eastAsia="宋体" w:cs="宋体"/>
          <w:b/>
          <w:sz w:val="24"/>
          <w:szCs w:val="24"/>
        </w:rPr>
      </w:pPr>
      <w:r>
        <w:rPr>
          <w:rFonts w:hint="eastAsia" w:ascii="宋体" w:hAnsi="宋体" w:eastAsia="宋体" w:cs="宋体"/>
          <w:b/>
          <w:sz w:val="24"/>
          <w:szCs w:val="24"/>
        </w:rPr>
        <w:t>项目商务要求</w:t>
      </w:r>
    </w:p>
    <w:p>
      <w:pPr>
        <w:pStyle w:val="12"/>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交付时间：遴选结果公布后30天内完成安装、调试并交付使用。</w:t>
      </w:r>
    </w:p>
    <w:p>
      <w:pPr>
        <w:pStyle w:val="12"/>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验收要求</w:t>
      </w:r>
    </w:p>
    <w:p>
      <w:pPr>
        <w:pStyle w:val="12"/>
        <w:numPr>
          <w:ilvl w:val="0"/>
          <w:numId w:val="4"/>
        </w:numPr>
        <w:spacing w:line="360" w:lineRule="auto"/>
        <w:ind w:firstLine="260" w:firstLineChars="100"/>
        <w:rPr>
          <w:rFonts w:hint="eastAsia" w:ascii="宋体" w:hAnsi="宋体" w:eastAsia="宋体" w:cs="宋体"/>
          <w:sz w:val="24"/>
          <w:szCs w:val="24"/>
        </w:rPr>
      </w:pPr>
      <w:r>
        <w:rPr>
          <w:rFonts w:hint="eastAsia" w:ascii="宋体" w:hAnsi="宋体" w:eastAsia="宋体" w:cs="宋体"/>
          <w:sz w:val="24"/>
          <w:szCs w:val="24"/>
        </w:rPr>
        <w:t>验收由双方及相关人员依照采购</w:t>
      </w:r>
      <w:r>
        <w:rPr>
          <w:rFonts w:hint="eastAsia" w:ascii="宋体" w:hAnsi="宋体" w:eastAsia="宋体" w:cs="宋体"/>
          <w:sz w:val="24"/>
          <w:szCs w:val="24"/>
          <w:lang w:val="en-US" w:eastAsia="zh-CN"/>
        </w:rPr>
        <w:t>需求及</w:t>
      </w:r>
      <w:r>
        <w:rPr>
          <w:rFonts w:hint="eastAsia" w:ascii="宋体" w:hAnsi="宋体" w:eastAsia="宋体" w:cs="宋体"/>
          <w:sz w:val="24"/>
          <w:szCs w:val="24"/>
        </w:rPr>
        <w:t>需求文件所列要求进行。</w:t>
      </w:r>
    </w:p>
    <w:p>
      <w:pPr>
        <w:pStyle w:val="12"/>
        <w:numPr>
          <w:ilvl w:val="0"/>
          <w:numId w:val="4"/>
        </w:numPr>
        <w:spacing w:line="360" w:lineRule="auto"/>
        <w:ind w:firstLine="260" w:firstLineChars="100"/>
        <w:rPr>
          <w:rFonts w:hint="eastAsia" w:ascii="宋体" w:hAnsi="宋体" w:eastAsia="宋体" w:cs="宋体"/>
          <w:sz w:val="24"/>
          <w:szCs w:val="24"/>
        </w:rPr>
      </w:pPr>
      <w:r>
        <w:rPr>
          <w:rFonts w:hint="eastAsia" w:ascii="宋体" w:hAnsi="宋体" w:eastAsia="宋体" w:cs="宋体"/>
          <w:sz w:val="24"/>
          <w:szCs w:val="24"/>
        </w:rPr>
        <w:t>拆箱后，</w:t>
      </w:r>
      <w:r>
        <w:rPr>
          <w:rFonts w:hint="eastAsia" w:ascii="宋体" w:hAnsi="宋体" w:eastAsia="宋体" w:cs="宋体"/>
          <w:sz w:val="24"/>
          <w:szCs w:val="24"/>
          <w:lang w:eastAsia="zh-CN"/>
        </w:rPr>
        <w:t>供应商</w:t>
      </w:r>
      <w:r>
        <w:rPr>
          <w:rFonts w:hint="eastAsia" w:ascii="宋体" w:hAnsi="宋体" w:eastAsia="宋体" w:cs="宋体"/>
          <w:sz w:val="24"/>
          <w:szCs w:val="24"/>
        </w:rPr>
        <w:t>应对其全部产品、零件、配件、用户许可证书、资料、介质造册登记，并与装箱单对比，如有出入应立即书面记录，由</w:t>
      </w:r>
      <w:r>
        <w:rPr>
          <w:rFonts w:hint="eastAsia" w:ascii="宋体" w:hAnsi="宋体" w:eastAsia="宋体" w:cs="宋体"/>
          <w:sz w:val="24"/>
          <w:szCs w:val="24"/>
          <w:lang w:eastAsia="zh-CN"/>
        </w:rPr>
        <w:t>供应商</w:t>
      </w:r>
      <w:r>
        <w:rPr>
          <w:rFonts w:hint="eastAsia" w:ascii="宋体" w:hAnsi="宋体" w:eastAsia="宋体" w:cs="宋体"/>
          <w:sz w:val="24"/>
          <w:szCs w:val="24"/>
        </w:rPr>
        <w:t>解决，如影响使用则实行退货处理。登记册作为验收文档之一。</w:t>
      </w:r>
    </w:p>
    <w:p>
      <w:pPr>
        <w:pStyle w:val="12"/>
        <w:numPr>
          <w:ilvl w:val="0"/>
          <w:numId w:val="4"/>
        </w:numPr>
        <w:spacing w:line="360" w:lineRule="auto"/>
        <w:ind w:firstLine="260" w:firstLineChars="100"/>
        <w:rPr>
          <w:rFonts w:hint="eastAsia" w:ascii="宋体" w:hAnsi="宋体" w:eastAsia="宋体" w:cs="宋体"/>
          <w:sz w:val="24"/>
          <w:szCs w:val="24"/>
        </w:rPr>
      </w:pPr>
      <w:r>
        <w:rPr>
          <w:rFonts w:hint="eastAsia" w:ascii="宋体" w:hAnsi="宋体" w:eastAsia="宋体" w:cs="宋体"/>
          <w:sz w:val="24"/>
          <w:szCs w:val="24"/>
        </w:rPr>
        <w:t>采购人要求对全部货物、产品、型号、规格、数量、外型、外观、包装及资料、文件（如装箱单、保修单、随箱介质等）进行验收，如有破损及型号、规格等不符者，立即退货。</w:t>
      </w:r>
    </w:p>
    <w:p>
      <w:pPr>
        <w:pStyle w:val="12"/>
        <w:numPr>
          <w:ilvl w:val="0"/>
          <w:numId w:val="4"/>
        </w:numPr>
        <w:spacing w:line="360" w:lineRule="auto"/>
        <w:ind w:firstLine="260" w:firstLineChars="10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应负责在项目验收时将设备的全部有关产品说明书、原厂家安装手册、技术文件、质量保证书、保修卡及安装、验收报告等文档汇集成册交付采购人。</w:t>
      </w:r>
    </w:p>
    <w:p>
      <w:pPr>
        <w:pStyle w:val="12"/>
        <w:numPr>
          <w:ilvl w:val="0"/>
          <w:numId w:val="4"/>
        </w:numPr>
        <w:spacing w:line="360" w:lineRule="auto"/>
        <w:ind w:firstLine="260" w:firstLineChars="10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应提供包括但不限于满足所购设备安装、使用、专用安装维修工具、日常维修工具。</w:t>
      </w:r>
    </w:p>
    <w:p>
      <w:pPr>
        <w:pStyle w:val="12"/>
        <w:numPr>
          <w:ilvl w:val="0"/>
          <w:numId w:val="4"/>
        </w:numPr>
        <w:spacing w:line="360" w:lineRule="auto"/>
        <w:ind w:firstLine="260" w:firstLineChars="100"/>
        <w:rPr>
          <w:rFonts w:hint="eastAsia" w:ascii="宋体" w:hAnsi="宋体" w:eastAsia="宋体" w:cs="宋体"/>
          <w:sz w:val="24"/>
          <w:szCs w:val="24"/>
        </w:rPr>
      </w:pPr>
      <w:r>
        <w:rPr>
          <w:rFonts w:hint="eastAsia" w:ascii="宋体" w:hAnsi="宋体" w:eastAsia="宋体" w:cs="宋体"/>
          <w:sz w:val="24"/>
          <w:szCs w:val="24"/>
        </w:rPr>
        <w:t>到货后由</w:t>
      </w:r>
      <w:r>
        <w:rPr>
          <w:rFonts w:hint="eastAsia" w:ascii="宋体" w:hAnsi="宋体" w:eastAsia="宋体" w:cs="宋体"/>
          <w:sz w:val="24"/>
          <w:szCs w:val="24"/>
          <w:lang w:eastAsia="zh-CN"/>
        </w:rPr>
        <w:t>供应商</w:t>
      </w:r>
      <w:r>
        <w:rPr>
          <w:rFonts w:hint="eastAsia" w:ascii="宋体" w:hAnsi="宋体" w:eastAsia="宋体" w:cs="宋体"/>
          <w:sz w:val="24"/>
          <w:szCs w:val="24"/>
        </w:rPr>
        <w:t>免费负责安装、调试及对采购人的使用人进行现场培训，包括设备操作使用手册及使用安全等相关内容，使用人熟练掌握操作后方可进行验收。</w:t>
      </w:r>
    </w:p>
    <w:p>
      <w:pPr>
        <w:pStyle w:val="12"/>
        <w:numPr>
          <w:ilvl w:val="0"/>
          <w:numId w:val="4"/>
        </w:numPr>
        <w:spacing w:line="360" w:lineRule="auto"/>
        <w:ind w:firstLine="260" w:firstLineChars="100"/>
        <w:rPr>
          <w:rFonts w:hint="eastAsia" w:ascii="宋体" w:hAnsi="宋体" w:eastAsia="宋体" w:cs="宋体"/>
          <w:sz w:val="24"/>
          <w:szCs w:val="24"/>
        </w:rPr>
      </w:pPr>
      <w:r>
        <w:rPr>
          <w:rFonts w:hint="eastAsia" w:ascii="宋体" w:hAnsi="宋体" w:eastAsia="宋体" w:cs="宋体"/>
          <w:sz w:val="24"/>
          <w:szCs w:val="24"/>
        </w:rPr>
        <w:t>验收完毕由双方在验收报告上签名。</w:t>
      </w:r>
    </w:p>
    <w:p>
      <w:pPr>
        <w:pStyle w:val="12"/>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质量保证期及售后服务要求</w:t>
      </w:r>
    </w:p>
    <w:p>
      <w:pPr>
        <w:pStyle w:val="12"/>
        <w:numPr>
          <w:ilvl w:val="0"/>
          <w:numId w:val="5"/>
        </w:numPr>
        <w:spacing w:line="360" w:lineRule="auto"/>
        <w:ind w:firstLine="260" w:firstLineChars="100"/>
        <w:rPr>
          <w:rFonts w:hint="eastAsia" w:ascii="宋体" w:hAnsi="宋体" w:eastAsia="宋体" w:cs="宋体"/>
          <w:sz w:val="24"/>
          <w:szCs w:val="24"/>
        </w:rPr>
      </w:pPr>
      <w:r>
        <w:rPr>
          <w:rFonts w:hint="eastAsia" w:ascii="宋体" w:hAnsi="宋体" w:eastAsia="宋体" w:cs="宋体"/>
          <w:sz w:val="24"/>
          <w:szCs w:val="24"/>
        </w:rPr>
        <w:t>▲质量保证期: ①项目验收合格后整机保修期不少于一年。（若国家和/或生产厂家对本项目所涉及货物的质量保证期的规定高于本项目的要求，应按国家和/或生产厂家的规定执行；）②在质量保证期内发生的质量问题，由供应商负责免费解决；在质量保证期外发生的质量问题，由供应商负责解决，采购人应支付相应的费用（货物故障维护和更换零配件价格按市场的较低者进行核算）。</w:t>
      </w:r>
    </w:p>
    <w:p>
      <w:pPr>
        <w:pStyle w:val="12"/>
        <w:numPr>
          <w:ilvl w:val="0"/>
          <w:numId w:val="5"/>
        </w:numPr>
        <w:spacing w:line="360" w:lineRule="auto"/>
        <w:ind w:firstLine="260" w:firstLineChars="100"/>
        <w:rPr>
          <w:rFonts w:hint="eastAsia" w:ascii="宋体" w:hAnsi="宋体" w:eastAsia="宋体" w:cs="宋体"/>
          <w:sz w:val="24"/>
          <w:szCs w:val="24"/>
        </w:rPr>
      </w:pPr>
      <w:r>
        <w:rPr>
          <w:rFonts w:hint="eastAsia" w:ascii="宋体" w:hAnsi="宋体" w:eastAsia="宋体" w:cs="宋体"/>
          <w:sz w:val="24"/>
          <w:szCs w:val="24"/>
        </w:rPr>
        <w:t>售后服务要求: ①在质保期内，供应商须提供常设售后服务（7×24小时）电话热线、远程及现场支持服务和长期的免费维修支持。②对采购人的服务通知，供应商在接报后30分钟响应，不能远程解决的，应在接到通知后2小时内到达现场，24小时内处理完毕，如遇特殊情况不能及时处理，需提供同型号备用器械，保障采购人正常使用。</w:t>
      </w:r>
    </w:p>
    <w:p>
      <w:pPr>
        <w:pStyle w:val="12"/>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培训要求</w:t>
      </w:r>
    </w:p>
    <w:p>
      <w:pPr>
        <w:pStyle w:val="12"/>
        <w:numPr>
          <w:ilvl w:val="0"/>
          <w:numId w:val="6"/>
        </w:numPr>
        <w:spacing w:line="360" w:lineRule="auto"/>
        <w:ind w:firstLine="260" w:firstLineChars="100"/>
        <w:rPr>
          <w:rFonts w:hint="eastAsia" w:ascii="宋体" w:hAnsi="宋体" w:eastAsia="宋体" w:cs="宋体"/>
          <w:sz w:val="24"/>
          <w:szCs w:val="24"/>
        </w:rPr>
      </w:pPr>
      <w:r>
        <w:rPr>
          <w:rFonts w:hint="eastAsia" w:ascii="宋体" w:hAnsi="宋体" w:eastAsia="宋体" w:cs="宋体"/>
          <w:sz w:val="24"/>
          <w:szCs w:val="24"/>
        </w:rPr>
        <w:t xml:space="preserve">培训地点：采购人指定地点； </w:t>
      </w:r>
    </w:p>
    <w:p>
      <w:pPr>
        <w:pStyle w:val="12"/>
        <w:numPr>
          <w:ilvl w:val="0"/>
          <w:numId w:val="6"/>
        </w:numPr>
        <w:spacing w:line="360" w:lineRule="auto"/>
        <w:ind w:firstLine="260" w:firstLineChars="100"/>
        <w:rPr>
          <w:rFonts w:hint="eastAsia" w:ascii="宋体" w:hAnsi="宋体" w:eastAsia="宋体" w:cs="宋体"/>
          <w:sz w:val="24"/>
          <w:szCs w:val="24"/>
        </w:rPr>
      </w:pPr>
      <w:r>
        <w:rPr>
          <w:rFonts w:hint="eastAsia" w:ascii="宋体" w:hAnsi="宋体" w:eastAsia="宋体" w:cs="宋体"/>
          <w:sz w:val="24"/>
          <w:szCs w:val="24"/>
        </w:rPr>
        <w:t>培训内容要求：</w:t>
      </w: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必须明确提供系统及设备用户操作等方面的培训； </w:t>
      </w:r>
    </w:p>
    <w:p>
      <w:pPr>
        <w:pStyle w:val="12"/>
        <w:numPr>
          <w:ilvl w:val="0"/>
          <w:numId w:val="6"/>
        </w:numPr>
        <w:spacing w:line="360" w:lineRule="auto"/>
        <w:ind w:firstLine="260" w:firstLineChars="100"/>
        <w:rPr>
          <w:rFonts w:hint="eastAsia" w:ascii="宋体" w:hAnsi="宋体" w:eastAsia="宋体" w:cs="宋体"/>
          <w:sz w:val="24"/>
          <w:szCs w:val="24"/>
        </w:rPr>
      </w:pPr>
      <w:r>
        <w:rPr>
          <w:rFonts w:hint="eastAsia" w:ascii="宋体" w:hAnsi="宋体" w:eastAsia="宋体" w:cs="宋体"/>
          <w:sz w:val="24"/>
          <w:szCs w:val="24"/>
        </w:rPr>
        <w:t>培训费用：</w:t>
      </w:r>
      <w:r>
        <w:rPr>
          <w:rFonts w:hint="eastAsia" w:ascii="宋体" w:hAnsi="宋体" w:eastAsia="宋体" w:cs="宋体"/>
          <w:sz w:val="24"/>
          <w:szCs w:val="24"/>
          <w:lang w:eastAsia="zh-CN"/>
        </w:rPr>
        <w:t>供应商</w:t>
      </w:r>
      <w:r>
        <w:rPr>
          <w:rFonts w:hint="eastAsia" w:ascii="宋体" w:hAnsi="宋体" w:eastAsia="宋体" w:cs="宋体"/>
          <w:sz w:val="24"/>
          <w:szCs w:val="24"/>
        </w:rPr>
        <w:t>应将所有培训费用（含培训教材费</w:t>
      </w:r>
      <w:r>
        <w:rPr>
          <w:rFonts w:hint="eastAsia" w:ascii="宋体" w:hAnsi="宋体" w:eastAsia="宋体" w:cs="宋体"/>
          <w:sz w:val="24"/>
          <w:szCs w:val="24"/>
          <w:lang w:eastAsia="zh-CN"/>
        </w:rPr>
        <w:t>、</w:t>
      </w:r>
      <w:r>
        <w:rPr>
          <w:rFonts w:hint="eastAsia" w:ascii="宋体" w:hAnsi="宋体" w:eastAsia="宋体" w:cs="宋体"/>
          <w:sz w:val="24"/>
          <w:szCs w:val="24"/>
        </w:rPr>
        <w:t>人员培训）及各项支出列入培训费用中，所有的费用必须计入投标总价。</w:t>
      </w:r>
    </w:p>
    <w:p>
      <w:pPr>
        <w:numPr>
          <w:ilvl w:val="0"/>
          <w:numId w:val="1"/>
        </w:numPr>
        <w:spacing w:line="360" w:lineRule="auto"/>
        <w:ind w:left="0" w:leftChars="0" w:firstLine="0" w:firstLineChars="0"/>
        <w:outlineLvl w:val="0"/>
        <w:rPr>
          <w:rFonts w:hint="eastAsia" w:ascii="宋体" w:hAnsi="宋体" w:eastAsia="宋体" w:cs="宋体"/>
          <w:b/>
          <w:sz w:val="24"/>
          <w:szCs w:val="24"/>
        </w:rPr>
      </w:pPr>
      <w:r>
        <w:rPr>
          <w:rFonts w:hint="eastAsia" w:ascii="宋体" w:hAnsi="宋体" w:eastAsia="宋体" w:cs="宋体"/>
          <w:b/>
          <w:sz w:val="24"/>
          <w:szCs w:val="24"/>
        </w:rPr>
        <w:t xml:space="preserve">★付款方式： </w:t>
      </w:r>
    </w:p>
    <w:p>
      <w:pPr>
        <w:pStyle w:val="12"/>
        <w:numPr>
          <w:ilvl w:val="0"/>
          <w:numId w:val="7"/>
        </w:numPr>
        <w:spacing w:line="360" w:lineRule="auto"/>
        <w:rPr>
          <w:rFonts w:hint="eastAsia" w:ascii="宋体" w:hAnsi="宋体" w:eastAsia="宋体" w:cs="宋体"/>
          <w:sz w:val="24"/>
          <w:szCs w:val="24"/>
        </w:rPr>
      </w:pPr>
      <w:r>
        <w:rPr>
          <w:rFonts w:hint="eastAsia" w:ascii="宋体" w:hAnsi="宋体" w:eastAsia="宋体" w:cs="宋体"/>
          <w:sz w:val="24"/>
          <w:szCs w:val="24"/>
        </w:rPr>
        <w:t>1期：支付比例30%，设备到货清点完毕后支付合同金额的30%（不计利息）；</w:t>
      </w:r>
    </w:p>
    <w:p>
      <w:pPr>
        <w:pStyle w:val="12"/>
        <w:numPr>
          <w:ilvl w:val="0"/>
          <w:numId w:val="7"/>
        </w:numPr>
        <w:spacing w:line="360" w:lineRule="auto"/>
        <w:rPr>
          <w:rFonts w:hint="eastAsia" w:ascii="宋体" w:hAnsi="宋体" w:eastAsia="宋体" w:cs="宋体"/>
          <w:sz w:val="24"/>
          <w:szCs w:val="24"/>
        </w:rPr>
      </w:pPr>
      <w:r>
        <w:rPr>
          <w:rFonts w:hint="eastAsia" w:ascii="宋体" w:hAnsi="宋体" w:eastAsia="宋体" w:cs="宋体"/>
          <w:sz w:val="24"/>
          <w:szCs w:val="24"/>
        </w:rPr>
        <w:t>2期：支付比例65%，设备安装验收合格后</w:t>
      </w:r>
      <w:r>
        <w:rPr>
          <w:rFonts w:hint="eastAsia" w:ascii="宋体" w:hAnsi="宋体" w:eastAsia="宋体" w:cs="宋体"/>
          <w:bCs w:val="0"/>
          <w:color w:val="000000" w:themeColor="text1"/>
          <w:sz w:val="24"/>
          <w:szCs w:val="24"/>
          <w14:textFill>
            <w14:solidFill>
              <w14:schemeClr w14:val="tx1"/>
            </w14:solidFill>
          </w14:textFill>
        </w:rPr>
        <w:t>30个工作日内</w:t>
      </w:r>
      <w:r>
        <w:rPr>
          <w:rFonts w:hint="eastAsia" w:ascii="宋体" w:hAnsi="宋体" w:eastAsia="宋体" w:cs="宋体"/>
          <w:sz w:val="24"/>
          <w:szCs w:val="24"/>
        </w:rPr>
        <w:t>支付合同金额的65%（不计利息）；</w:t>
      </w:r>
    </w:p>
    <w:p>
      <w:pPr>
        <w:pStyle w:val="12"/>
        <w:numPr>
          <w:ilvl w:val="0"/>
          <w:numId w:val="7"/>
        </w:numPr>
        <w:spacing w:line="360" w:lineRule="auto"/>
        <w:rPr>
          <w:rFonts w:hint="eastAsia" w:ascii="宋体" w:hAnsi="宋体" w:eastAsia="宋体" w:cs="宋体"/>
          <w:sz w:val="24"/>
          <w:szCs w:val="24"/>
        </w:rPr>
      </w:pPr>
      <w:r>
        <w:rPr>
          <w:rFonts w:hint="eastAsia" w:ascii="宋体" w:hAnsi="宋体" w:eastAsia="宋体" w:cs="宋体"/>
          <w:sz w:val="24"/>
          <w:szCs w:val="24"/>
        </w:rPr>
        <w:t>3期：支付比例5%，剩余合同金额的5%于验收合格之日起满一年后30个工作日内支付清（不计利息）。</w:t>
      </w:r>
    </w:p>
    <w:p>
      <w:pPr>
        <w:pStyle w:val="12"/>
        <w:numPr>
          <w:ilvl w:val="0"/>
          <w:numId w:val="7"/>
        </w:numPr>
        <w:spacing w:line="360" w:lineRule="auto"/>
        <w:rPr>
          <w:rFonts w:hint="eastAsia" w:ascii="宋体" w:hAnsi="宋体" w:eastAsia="宋体" w:cs="宋体"/>
          <w:sz w:val="24"/>
          <w:szCs w:val="24"/>
        </w:rPr>
      </w:pPr>
      <w:r>
        <w:rPr>
          <w:rFonts w:hint="eastAsia" w:ascii="宋体" w:hAnsi="宋体" w:eastAsia="宋体" w:cs="宋体"/>
          <w:sz w:val="24"/>
          <w:szCs w:val="24"/>
        </w:rPr>
        <w:t>每笔款项支付时，供应商同时向采购人提供相应金额的正式发票（开全额发票除外）、合同复印件、请款申请、营业执照复印件。</w:t>
      </w:r>
    </w:p>
    <w:p>
      <w:pPr>
        <w:numPr>
          <w:ilvl w:val="0"/>
          <w:numId w:val="1"/>
        </w:numPr>
        <w:spacing w:line="360" w:lineRule="auto"/>
        <w:ind w:left="0" w:leftChars="0" w:firstLine="0" w:firstLineChars="0"/>
        <w:outlineLvl w:val="0"/>
        <w:rPr>
          <w:rFonts w:hint="eastAsia" w:ascii="宋体" w:hAnsi="宋体" w:eastAsia="宋体" w:cs="宋体"/>
          <w:sz w:val="24"/>
          <w:szCs w:val="24"/>
        </w:rPr>
      </w:pPr>
      <w:r>
        <w:rPr>
          <w:rFonts w:hint="eastAsia" w:ascii="宋体" w:hAnsi="宋体" w:eastAsia="宋体" w:cs="宋体"/>
          <w:b/>
          <w:sz w:val="24"/>
          <w:szCs w:val="24"/>
        </w:rPr>
        <w:t>违约责任</w:t>
      </w:r>
    </w:p>
    <w:p>
      <w:pPr>
        <w:numPr>
          <w:ilvl w:val="0"/>
          <w:numId w:val="8"/>
        </w:numPr>
        <w:spacing w:line="360" w:lineRule="auto"/>
        <w:ind w:left="0" w:leftChars="0" w:firstLine="400" w:firstLineChars="0"/>
        <w:rPr>
          <w:rFonts w:hint="eastAsia" w:ascii="宋体" w:hAnsi="宋体" w:eastAsia="宋体" w:cs="宋体"/>
          <w:sz w:val="24"/>
          <w:szCs w:val="24"/>
        </w:rPr>
      </w:pPr>
      <w:r>
        <w:rPr>
          <w:rFonts w:hint="eastAsia" w:ascii="宋体" w:hAnsi="宋体" w:eastAsia="宋体" w:cs="宋体"/>
          <w:sz w:val="24"/>
          <w:szCs w:val="24"/>
        </w:rPr>
        <w:t>乙方交付的货物、提供的服务不符合合同规定的，甲方有权拒收，乙方因此不能按时交货，甲方有权</w:t>
      </w:r>
      <w:r>
        <w:rPr>
          <w:rFonts w:hint="eastAsia" w:ascii="宋体" w:hAnsi="宋体" w:cs="宋体"/>
          <w:sz w:val="24"/>
          <w:szCs w:val="24"/>
          <w:lang w:val="en-US" w:eastAsia="zh-CN"/>
        </w:rPr>
        <w:t>单方解除合同，</w:t>
      </w:r>
      <w:r>
        <w:rPr>
          <w:rFonts w:hint="eastAsia" w:ascii="宋体" w:hAnsi="宋体" w:eastAsia="宋体" w:cs="宋体"/>
          <w:sz w:val="24"/>
          <w:szCs w:val="24"/>
        </w:rPr>
        <w:t>自行采购合格的替代品，并且乙方须向甲方支付合同总价5%的违约金。</w:t>
      </w:r>
    </w:p>
    <w:p>
      <w:pPr>
        <w:numPr>
          <w:ilvl w:val="0"/>
          <w:numId w:val="8"/>
        </w:numPr>
        <w:spacing w:line="360" w:lineRule="auto"/>
        <w:ind w:left="0" w:leftChars="0" w:firstLine="400" w:firstLineChars="0"/>
        <w:rPr>
          <w:rFonts w:hint="eastAsia" w:ascii="宋体" w:hAnsi="宋体" w:eastAsia="宋体" w:cs="宋体"/>
          <w:sz w:val="24"/>
          <w:szCs w:val="24"/>
        </w:rPr>
      </w:pPr>
      <w:r>
        <w:rPr>
          <w:rFonts w:hint="eastAsia" w:ascii="宋体" w:hAnsi="宋体" w:eastAsia="宋体" w:cs="宋体"/>
          <w:sz w:val="24"/>
          <w:szCs w:val="24"/>
        </w:rPr>
        <w:t>乙方未能按合同规定的交货时间交付货物的，从逾期之日起每日按本合同总金额1%向甲方支付违约金；逾期5天以上的，甲方有权单方面解除合同，并不予退还乙方履约保证金，由此造成的甲方经济损失由乙方承担。</w:t>
      </w:r>
    </w:p>
    <w:p>
      <w:pPr>
        <w:numPr>
          <w:ilvl w:val="0"/>
          <w:numId w:val="8"/>
        </w:numPr>
        <w:spacing w:line="360" w:lineRule="auto"/>
        <w:ind w:left="0" w:leftChars="0" w:firstLine="400" w:firstLineChars="0"/>
        <w:rPr>
          <w:rFonts w:hint="eastAsia" w:ascii="宋体" w:hAnsi="宋体" w:eastAsia="宋体" w:cs="宋体"/>
          <w:sz w:val="24"/>
          <w:szCs w:val="24"/>
        </w:rPr>
      </w:pPr>
      <w:r>
        <w:rPr>
          <w:rFonts w:hint="eastAsia" w:ascii="宋体" w:hAnsi="宋体" w:eastAsia="宋体" w:cs="宋体"/>
          <w:sz w:val="24"/>
          <w:szCs w:val="24"/>
        </w:rPr>
        <w:t>甲方无正当理由拒收货物，不按政府采购支付流程办理付款申请手续的，甲方向乙方偿付本合同总价5%的违约金。甲方逾期未按政府采购支付流程办理付款申请手续的，则每日按本合同总价的3‰向乙方偿付违约金。实际支付款项期限均不包含财政审批的时间。</w:t>
      </w:r>
    </w:p>
    <w:p>
      <w:pPr>
        <w:numPr>
          <w:ilvl w:val="0"/>
          <w:numId w:val="8"/>
        </w:numPr>
        <w:spacing w:line="360" w:lineRule="auto"/>
        <w:ind w:left="0" w:leftChars="0" w:firstLine="400" w:firstLineChars="0"/>
        <w:rPr>
          <w:rFonts w:hint="eastAsia" w:ascii="宋体" w:hAnsi="宋体" w:eastAsia="宋体" w:cs="宋体"/>
          <w:sz w:val="24"/>
          <w:szCs w:val="24"/>
        </w:rPr>
      </w:pPr>
      <w:r>
        <w:rPr>
          <w:rFonts w:hint="eastAsia" w:ascii="宋体" w:hAnsi="宋体" w:eastAsia="宋体" w:cs="宋体"/>
          <w:sz w:val="24"/>
          <w:szCs w:val="24"/>
        </w:rPr>
        <w:t>乙方如没有按合同规定履行售后服务承诺，甲方可由第三方单位进行修复，其费用全部由乙方支付，否则，将没收乙方的履约保证金，如果没有履约保证金的则追究乙方违约的法律责任。</w:t>
      </w:r>
    </w:p>
    <w:p>
      <w:pPr>
        <w:numPr>
          <w:ilvl w:val="0"/>
          <w:numId w:val="1"/>
        </w:numPr>
        <w:spacing w:line="360" w:lineRule="auto"/>
        <w:ind w:left="0" w:leftChars="0" w:firstLine="0" w:firstLineChars="0"/>
        <w:outlineLvl w:val="0"/>
        <w:rPr>
          <w:rFonts w:hint="eastAsia" w:ascii="宋体" w:hAnsi="宋体" w:eastAsia="宋体" w:cs="宋体"/>
          <w:b/>
          <w:color w:val="auto"/>
          <w:sz w:val="24"/>
          <w:szCs w:val="24"/>
          <w:lang w:val="zh-TW"/>
        </w:rPr>
      </w:pPr>
      <w:r>
        <w:rPr>
          <w:rFonts w:hint="eastAsia" w:ascii="宋体" w:hAnsi="宋体" w:eastAsia="宋体" w:cs="宋体"/>
          <w:b/>
          <w:color w:val="auto"/>
          <w:sz w:val="24"/>
          <w:szCs w:val="24"/>
          <w:lang w:val="zh-TW"/>
        </w:rPr>
        <w:t>报价一览表</w:t>
      </w:r>
    </w:p>
    <w:tbl>
      <w:tblPr>
        <w:tblStyle w:val="8"/>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07"/>
        <w:gridCol w:w="1653"/>
        <w:gridCol w:w="1653"/>
        <w:gridCol w:w="1653"/>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669" w:type="dxa"/>
            <w:vAlign w:val="center"/>
          </w:tcPr>
          <w:p>
            <w:pPr>
              <w:widowControl/>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807" w:type="dxa"/>
            <w:vAlign w:val="center"/>
          </w:tcPr>
          <w:p>
            <w:pPr>
              <w:widowControl/>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报价内容</w:t>
            </w:r>
          </w:p>
        </w:tc>
        <w:tc>
          <w:tcPr>
            <w:tcW w:w="1653" w:type="dxa"/>
            <w:vAlign w:val="center"/>
          </w:tcPr>
          <w:p>
            <w:pPr>
              <w:widowControl/>
              <w:spacing w:line="360" w:lineRule="auto"/>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数量</w:t>
            </w:r>
          </w:p>
        </w:tc>
        <w:tc>
          <w:tcPr>
            <w:tcW w:w="1653" w:type="dxa"/>
            <w:vAlign w:val="center"/>
          </w:tcPr>
          <w:p>
            <w:pPr>
              <w:widowControl/>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最高限价</w:t>
            </w:r>
          </w:p>
          <w:p>
            <w:pPr>
              <w:widowControl/>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（万元）</w:t>
            </w:r>
          </w:p>
        </w:tc>
        <w:tc>
          <w:tcPr>
            <w:tcW w:w="1653" w:type="dxa"/>
            <w:vAlign w:val="center"/>
          </w:tcPr>
          <w:p>
            <w:pPr>
              <w:widowControl/>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项目报价</w:t>
            </w:r>
          </w:p>
          <w:p>
            <w:pPr>
              <w:widowControl/>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（万元）</w:t>
            </w:r>
          </w:p>
        </w:tc>
        <w:tc>
          <w:tcPr>
            <w:tcW w:w="1182" w:type="dxa"/>
            <w:vAlign w:val="center"/>
          </w:tcPr>
          <w:p>
            <w:pPr>
              <w:widowControl/>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69"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07"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贯穿式烘干机采购项目</w:t>
            </w:r>
          </w:p>
        </w:tc>
        <w:tc>
          <w:tcPr>
            <w:tcW w:w="1653"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3台</w:t>
            </w:r>
          </w:p>
        </w:tc>
        <w:tc>
          <w:tcPr>
            <w:tcW w:w="1653"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49.80</w:t>
            </w:r>
          </w:p>
        </w:tc>
        <w:tc>
          <w:tcPr>
            <w:tcW w:w="1653" w:type="dxa"/>
            <w:vAlign w:val="center"/>
          </w:tcPr>
          <w:p>
            <w:pPr>
              <w:spacing w:line="360" w:lineRule="auto"/>
              <w:jc w:val="center"/>
              <w:rPr>
                <w:rFonts w:hint="eastAsia" w:ascii="宋体" w:hAnsi="宋体" w:eastAsia="宋体" w:cs="宋体"/>
                <w:color w:val="auto"/>
                <w:sz w:val="24"/>
                <w:szCs w:val="24"/>
              </w:rPr>
            </w:pPr>
          </w:p>
        </w:tc>
        <w:tc>
          <w:tcPr>
            <w:tcW w:w="1182" w:type="dxa"/>
            <w:vAlign w:val="center"/>
          </w:tcPr>
          <w:p>
            <w:pPr>
              <w:spacing w:line="360" w:lineRule="auto"/>
              <w:jc w:val="center"/>
              <w:rPr>
                <w:rFonts w:hint="eastAsia" w:ascii="宋体" w:hAnsi="宋体" w:eastAsia="宋体" w:cs="宋体"/>
                <w:color w:val="auto"/>
                <w:sz w:val="24"/>
                <w:szCs w:val="24"/>
              </w:rPr>
            </w:pPr>
          </w:p>
        </w:tc>
      </w:tr>
    </w:tbl>
    <w:p>
      <w:pPr>
        <w:pStyle w:val="1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p>
    <w:p>
      <w:pPr>
        <w:numPr>
          <w:ilvl w:val="0"/>
          <w:numId w:val="9"/>
        </w:numPr>
        <w:spacing w:line="360" w:lineRule="auto"/>
        <w:ind w:left="0" w:leftChars="0" w:firstLine="400" w:firstLineChars="0"/>
        <w:rPr>
          <w:rFonts w:hint="eastAsia" w:ascii="宋体" w:hAnsi="宋体" w:eastAsia="宋体" w:cs="宋体"/>
          <w:sz w:val="24"/>
          <w:szCs w:val="24"/>
        </w:rPr>
      </w:pPr>
      <w:r>
        <w:rPr>
          <w:rFonts w:hint="eastAsia" w:ascii="宋体" w:hAnsi="宋体" w:eastAsia="宋体" w:cs="宋体"/>
          <w:sz w:val="24"/>
          <w:szCs w:val="24"/>
          <w:lang w:val="en-US" w:eastAsia="zh-CN"/>
        </w:rPr>
        <w:t>项目费用包含</w:t>
      </w:r>
      <w:r>
        <w:rPr>
          <w:rFonts w:hint="eastAsia" w:ascii="宋体" w:hAnsi="宋体" w:eastAsia="宋体" w:cs="宋体"/>
          <w:sz w:val="24"/>
          <w:szCs w:val="24"/>
        </w:rPr>
        <w:t>所有货物购置费、专用工具费、包装运输费、技术支持费、装卸费、保险费、安装调试费、税费、所有需要向第三方支付的知识产权费用以及质量保证期内的维修保养费在内的费用</w:t>
      </w:r>
      <w:r>
        <w:rPr>
          <w:rFonts w:hint="eastAsia" w:ascii="宋体" w:hAnsi="宋体" w:eastAsia="宋体" w:cs="宋体"/>
          <w:sz w:val="24"/>
          <w:szCs w:val="24"/>
          <w:lang w:val="en-US" w:eastAsia="zh-CN"/>
        </w:rPr>
        <w:t>及</w:t>
      </w:r>
      <w:r>
        <w:rPr>
          <w:rFonts w:hint="eastAsia" w:ascii="宋体" w:hAnsi="宋体" w:eastAsia="宋体" w:cs="宋体"/>
          <w:sz w:val="24"/>
          <w:szCs w:val="24"/>
        </w:rPr>
        <w:t>其他在项目合同实施过程中应预见及不可预见的一切费用。</w:t>
      </w:r>
    </w:p>
    <w:p>
      <w:pPr>
        <w:numPr>
          <w:ilvl w:val="0"/>
          <w:numId w:val="9"/>
        </w:numPr>
        <w:spacing w:line="360" w:lineRule="auto"/>
        <w:ind w:left="0" w:leftChars="0" w:firstLine="400" w:firstLineChars="0"/>
        <w:rPr>
          <w:rFonts w:hint="eastAsia" w:ascii="宋体" w:hAnsi="宋体" w:eastAsia="宋体" w:cs="宋体"/>
          <w:sz w:val="24"/>
          <w:szCs w:val="24"/>
        </w:rPr>
      </w:pPr>
      <w:r>
        <w:rPr>
          <w:rFonts w:hint="eastAsia" w:ascii="宋体" w:hAnsi="宋体" w:eastAsia="宋体" w:cs="宋体"/>
          <w:sz w:val="24"/>
          <w:szCs w:val="24"/>
          <w:lang w:val="en-US" w:eastAsia="zh-CN"/>
        </w:rPr>
        <w:t>★项目要求包含</w:t>
      </w:r>
      <w:r>
        <w:rPr>
          <w:rFonts w:hint="eastAsia" w:ascii="宋体" w:hAnsi="宋体" w:eastAsia="宋体" w:cs="宋体"/>
          <w:sz w:val="24"/>
          <w:szCs w:val="24"/>
        </w:rPr>
        <w:t>烘干机的安装、调试等费用，包括在安装过程中所需使用的蒸汽管、风管、排风管、除尘、电缆、以及拆和装原有间隔板、延长穿梭机轨道等一切设施设备所需费用，确保3台烘干机在安装后与现有设备相连贯正常使用。</w:t>
      </w:r>
    </w:p>
    <w:p>
      <w:pPr>
        <w:pStyle w:val="11"/>
        <w:spacing w:line="360" w:lineRule="auto"/>
        <w:ind w:firstLine="361" w:firstLineChars="150"/>
        <w:jc w:val="center"/>
        <w:rPr>
          <w:rFonts w:hint="eastAsia" w:ascii="宋体" w:hAnsi="宋体" w:eastAsia="宋体" w:cs="宋体"/>
          <w:b/>
          <w:bCs/>
          <w:sz w:val="24"/>
          <w:szCs w:val="24"/>
          <w:lang w:val="en-US" w:eastAsia="zh-CN"/>
        </w:rPr>
      </w:pPr>
    </w:p>
    <w:p>
      <w:pPr>
        <w:spacing w:line="360" w:lineRule="auto"/>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numPr>
          <w:ilvl w:val="0"/>
          <w:numId w:val="1"/>
        </w:numPr>
        <w:spacing w:line="360" w:lineRule="auto"/>
        <w:ind w:left="0" w:leftChars="0" w:firstLine="0" w:firstLineChars="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评审标准</w:t>
      </w:r>
    </w:p>
    <w:p>
      <w:pPr>
        <w:pStyle w:val="13"/>
        <w:numPr>
          <w:ilvl w:val="0"/>
          <w:numId w:val="10"/>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b/>
          <w:bCs/>
          <w:sz w:val="24"/>
          <w:szCs w:val="24"/>
        </w:rPr>
        <w:t>技术评分30分</w:t>
      </w:r>
    </w:p>
    <w:tbl>
      <w:tblPr>
        <w:tblStyle w:val="8"/>
        <w:tblW w:w="9919" w:type="dxa"/>
        <w:jc w:val="center"/>
        <w:tblLayout w:type="fixed"/>
        <w:tblCellMar>
          <w:top w:w="0" w:type="dxa"/>
          <w:left w:w="108" w:type="dxa"/>
          <w:bottom w:w="0" w:type="dxa"/>
          <w:right w:w="108" w:type="dxa"/>
        </w:tblCellMar>
      </w:tblPr>
      <w:tblGrid>
        <w:gridCol w:w="702"/>
        <w:gridCol w:w="1724"/>
        <w:gridCol w:w="5603"/>
        <w:gridCol w:w="910"/>
        <w:gridCol w:w="980"/>
      </w:tblGrid>
      <w:tr>
        <w:tblPrEx>
          <w:tblCellMar>
            <w:top w:w="0" w:type="dxa"/>
            <w:left w:w="108" w:type="dxa"/>
            <w:bottom w:w="0" w:type="dxa"/>
            <w:right w:w="108" w:type="dxa"/>
          </w:tblCellMar>
        </w:tblPrEx>
        <w:trPr>
          <w:trHeight w:val="54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评分项目</w:t>
            </w:r>
          </w:p>
        </w:tc>
        <w:tc>
          <w:tcPr>
            <w:tcW w:w="65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评分参考及范围</w:t>
            </w:r>
          </w:p>
        </w:tc>
        <w:tc>
          <w:tcPr>
            <w:tcW w:w="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分值</w:t>
            </w:r>
          </w:p>
        </w:tc>
      </w:tr>
      <w:tr>
        <w:tblPrEx>
          <w:tblCellMar>
            <w:top w:w="0" w:type="dxa"/>
            <w:left w:w="108" w:type="dxa"/>
            <w:bottom w:w="0" w:type="dxa"/>
            <w:right w:w="108" w:type="dxa"/>
          </w:tblCellMar>
        </w:tblPrEx>
        <w:trPr>
          <w:trHeight w:val="616"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技术响应</w:t>
            </w:r>
          </w:p>
        </w:tc>
        <w:tc>
          <w:tcPr>
            <w:tcW w:w="65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根据用户需求书</w:t>
            </w:r>
            <w:r>
              <w:rPr>
                <w:rFonts w:hint="eastAsia" w:ascii="宋体" w:hAnsi="宋体" w:eastAsia="宋体" w:cs="宋体"/>
                <w:color w:val="000000"/>
                <w:sz w:val="24"/>
                <w:szCs w:val="24"/>
                <w:lang w:val="en-US" w:eastAsia="zh-CN"/>
              </w:rPr>
              <w:t>技术要求</w:t>
            </w:r>
            <w:r>
              <w:rPr>
                <w:rFonts w:hint="eastAsia" w:ascii="宋体" w:hAnsi="宋体" w:eastAsia="宋体" w:cs="宋体"/>
                <w:color w:val="000000"/>
                <w:sz w:val="24"/>
                <w:szCs w:val="24"/>
              </w:rPr>
              <w:t>的符合性进行比较：</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全部满足用户需求书的，得</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每偏离</w:t>
            </w:r>
            <w:r>
              <w:rPr>
                <w:rFonts w:hint="eastAsia" w:ascii="宋体" w:hAnsi="宋体" w:eastAsia="宋体" w:cs="宋体"/>
                <w:color w:val="000000"/>
                <w:sz w:val="24"/>
                <w:szCs w:val="24"/>
              </w:rPr>
              <w:t>1项带▲号的</w:t>
            </w:r>
            <w:r>
              <w:rPr>
                <w:rFonts w:hint="eastAsia" w:ascii="宋体" w:hAnsi="宋体" w:eastAsia="宋体" w:cs="宋体"/>
                <w:color w:val="000000"/>
                <w:sz w:val="24"/>
                <w:szCs w:val="24"/>
                <w:lang w:val="en-US" w:eastAsia="zh-CN"/>
              </w:rPr>
              <w:t>条款</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扣5</w:t>
            </w:r>
            <w:r>
              <w:rPr>
                <w:rFonts w:hint="eastAsia" w:ascii="宋体" w:hAnsi="宋体" w:eastAsia="宋体" w:cs="宋体"/>
                <w:color w:val="000000"/>
                <w:sz w:val="24"/>
                <w:szCs w:val="24"/>
              </w:rPr>
              <w:t>分；</w:t>
            </w:r>
          </w:p>
          <w:p>
            <w:pPr>
              <w:pStyle w:val="3"/>
              <w:spacing w:line="360" w:lineRule="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每偏离1项基本条款，扣1分；</w:t>
            </w:r>
          </w:p>
          <w:p>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注：技术参数条款中要求提供证明材料的须按要求提供，若所提供的证明材料对相关参数描述不明确或缺项导致评审专家不能判断的，按该项技术条款未响应处理。</w:t>
            </w:r>
          </w:p>
        </w:tc>
        <w:tc>
          <w:tcPr>
            <w:tcW w:w="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r>
      <w:tr>
        <w:tblPrEx>
          <w:tblCellMar>
            <w:top w:w="0" w:type="dxa"/>
            <w:left w:w="108" w:type="dxa"/>
            <w:bottom w:w="0" w:type="dxa"/>
            <w:right w:w="108" w:type="dxa"/>
          </w:tblCellMar>
        </w:tblPrEx>
        <w:trPr>
          <w:trHeight w:val="587" w:hRule="atLeast"/>
          <w:jc w:val="center"/>
        </w:trPr>
        <w:tc>
          <w:tcPr>
            <w:tcW w:w="70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2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设备技术支持、及应用案例情况</w:t>
            </w:r>
          </w:p>
        </w:tc>
        <w:tc>
          <w:tcPr>
            <w:tcW w:w="56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厂家有5个或以上已建成的项目应用案例的，厂家技术力量支持情况综合评价最优（须提供项目名称、地址、客户联系电话、项目建成时间、现场照片等，没有提供的不得分）。每提供1个得2分，最高10分。</w:t>
            </w: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980"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r>
      <w:tr>
        <w:tblPrEx>
          <w:tblCellMar>
            <w:top w:w="0" w:type="dxa"/>
            <w:left w:w="108" w:type="dxa"/>
            <w:bottom w:w="0" w:type="dxa"/>
            <w:right w:w="108" w:type="dxa"/>
          </w:tblCellMar>
        </w:tblPrEx>
        <w:trPr>
          <w:trHeight w:val="1237" w:hRule="atLeast"/>
          <w:jc w:val="center"/>
        </w:trPr>
        <w:tc>
          <w:tcPr>
            <w:tcW w:w="7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5603"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设备安装技术对现有生产没影响，能无缝对接的（</w:t>
            </w:r>
            <w:r>
              <w:rPr>
                <w:rFonts w:hint="eastAsia" w:ascii="宋体" w:hAnsi="宋体" w:eastAsia="宋体" w:cs="宋体"/>
                <w:color w:val="000000" w:themeColor="text1"/>
                <w:sz w:val="24"/>
                <w:szCs w:val="24"/>
                <w14:textFill>
                  <w14:solidFill>
                    <w14:schemeClr w14:val="tx1"/>
                  </w14:solidFill>
                </w14:textFill>
              </w:rPr>
              <w:t>设备安装后，整个生产系统之间接口不存在任何问题，运行顺畅及需提供端口与上位机信息化管理系统对接，便于采集生产数据和智能工厂管理</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注：需提供承诺函，不提供</w:t>
            </w:r>
            <w:r>
              <w:rPr>
                <w:rFonts w:hint="eastAsia" w:ascii="宋体" w:hAnsi="宋体" w:eastAsia="宋体" w:cs="宋体"/>
                <w:sz w:val="24"/>
                <w:szCs w:val="24"/>
              </w:rPr>
              <w:t>不得分。</w:t>
            </w: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980"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54" w:hRule="atLeast"/>
          <w:jc w:val="center"/>
        </w:trPr>
        <w:tc>
          <w:tcPr>
            <w:tcW w:w="893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w:t>
            </w:r>
          </w:p>
        </w:tc>
        <w:tc>
          <w:tcPr>
            <w:tcW w:w="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w:t>
            </w:r>
          </w:p>
        </w:tc>
      </w:tr>
    </w:tbl>
    <w:p>
      <w:pPr>
        <w:pStyle w:val="13"/>
        <w:numPr>
          <w:ilvl w:val="0"/>
          <w:numId w:val="10"/>
        </w:numPr>
        <w:spacing w:line="360" w:lineRule="auto"/>
        <w:ind w:left="42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商务评分40分</w:t>
      </w:r>
    </w:p>
    <w:tbl>
      <w:tblPr>
        <w:tblStyle w:val="8"/>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738"/>
        <w:gridCol w:w="6564"/>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3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评分项目</w:t>
            </w:r>
          </w:p>
        </w:tc>
        <w:tc>
          <w:tcPr>
            <w:tcW w:w="656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评分参考及范围</w:t>
            </w:r>
          </w:p>
        </w:tc>
        <w:tc>
          <w:tcPr>
            <w:tcW w:w="96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3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商务响应</w:t>
            </w:r>
          </w:p>
        </w:tc>
        <w:tc>
          <w:tcPr>
            <w:tcW w:w="6564"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根据用户需求书</w:t>
            </w:r>
            <w:r>
              <w:rPr>
                <w:rFonts w:hint="eastAsia" w:ascii="宋体" w:hAnsi="宋体" w:eastAsia="宋体" w:cs="宋体"/>
                <w:color w:val="000000"/>
                <w:sz w:val="24"/>
                <w:szCs w:val="24"/>
                <w:lang w:val="en-US" w:eastAsia="zh-CN"/>
              </w:rPr>
              <w:t>商务要求</w:t>
            </w:r>
            <w:r>
              <w:rPr>
                <w:rFonts w:hint="eastAsia" w:ascii="宋体" w:hAnsi="宋体" w:eastAsia="宋体" w:cs="宋体"/>
                <w:color w:val="000000"/>
                <w:sz w:val="24"/>
                <w:szCs w:val="24"/>
              </w:rPr>
              <w:t>的符合性进行比较：</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全部满足用户需求书的，得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每偏离</w:t>
            </w:r>
            <w:r>
              <w:rPr>
                <w:rFonts w:hint="eastAsia" w:ascii="宋体" w:hAnsi="宋体" w:eastAsia="宋体" w:cs="宋体"/>
                <w:color w:val="000000"/>
                <w:sz w:val="24"/>
                <w:szCs w:val="24"/>
              </w:rPr>
              <w:t>1项带▲号的</w:t>
            </w:r>
            <w:r>
              <w:rPr>
                <w:rFonts w:hint="eastAsia" w:ascii="宋体" w:hAnsi="宋体" w:eastAsia="宋体" w:cs="宋体"/>
                <w:color w:val="000000"/>
                <w:sz w:val="24"/>
                <w:szCs w:val="24"/>
                <w:lang w:val="en-US" w:eastAsia="zh-CN"/>
              </w:rPr>
              <w:t>条款</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扣2</w:t>
            </w:r>
            <w:r>
              <w:rPr>
                <w:rFonts w:hint="eastAsia" w:ascii="宋体" w:hAnsi="宋体" w:eastAsia="宋体" w:cs="宋体"/>
                <w:color w:val="000000"/>
                <w:sz w:val="24"/>
                <w:szCs w:val="24"/>
              </w:rPr>
              <w:t>分；</w:t>
            </w:r>
          </w:p>
          <w:p>
            <w:pPr>
              <w:pStyle w:val="3"/>
              <w:spacing w:line="360" w:lineRule="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每偏离1项基本条款，扣1分；</w:t>
            </w:r>
          </w:p>
          <w:p>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注：</w:t>
            </w:r>
            <w:r>
              <w:rPr>
                <w:rFonts w:hint="eastAsia" w:ascii="宋体" w:hAnsi="宋体" w:eastAsia="宋体" w:cs="宋体"/>
                <w:color w:val="000000"/>
                <w:sz w:val="24"/>
                <w:szCs w:val="24"/>
                <w:lang w:val="en-US" w:eastAsia="zh-CN"/>
              </w:rPr>
              <w:t>商务</w:t>
            </w:r>
            <w:r>
              <w:rPr>
                <w:rFonts w:hint="eastAsia" w:ascii="宋体" w:hAnsi="宋体" w:eastAsia="宋体" w:cs="宋体"/>
                <w:color w:val="000000"/>
                <w:sz w:val="24"/>
                <w:szCs w:val="24"/>
              </w:rPr>
              <w:t>条款中要求提供证明材料的须按要求提供，若所提供的证明材料对相关参数描述不明确或缺项导致评审专家不能判断的，按该项技术条款未响应处理。</w:t>
            </w:r>
          </w:p>
        </w:tc>
        <w:tc>
          <w:tcPr>
            <w:tcW w:w="96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3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售后服务</w:t>
            </w:r>
          </w:p>
        </w:tc>
        <w:tc>
          <w:tcPr>
            <w:tcW w:w="6564" w:type="dxa"/>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对</w:t>
            </w:r>
            <w:r>
              <w:rPr>
                <w:rFonts w:hint="eastAsia" w:ascii="宋体" w:hAnsi="宋体" w:eastAsia="宋体" w:cs="宋体"/>
                <w:sz w:val="24"/>
                <w:szCs w:val="24"/>
                <w:lang w:val="en-US" w:eastAsia="zh-CN"/>
              </w:rPr>
              <w:t>供应商</w:t>
            </w:r>
            <w:r>
              <w:rPr>
                <w:rFonts w:hint="eastAsia" w:ascii="宋体" w:hAnsi="宋体" w:eastAsia="宋体" w:cs="宋体"/>
                <w:sz w:val="24"/>
                <w:szCs w:val="24"/>
              </w:rPr>
              <w:t>的人员情况、从业经验，</w:t>
            </w:r>
            <w:r>
              <w:rPr>
                <w:rFonts w:hint="eastAsia" w:ascii="宋体" w:hAnsi="宋体" w:eastAsia="宋体" w:cs="宋体"/>
                <w:sz w:val="24"/>
                <w:szCs w:val="24"/>
                <w:lang w:eastAsia="zh-CN"/>
              </w:rPr>
              <w:t>供应商</w:t>
            </w:r>
            <w:r>
              <w:rPr>
                <w:rFonts w:hint="eastAsia" w:ascii="宋体" w:hAnsi="宋体" w:eastAsia="宋体" w:cs="宋体"/>
                <w:sz w:val="24"/>
                <w:szCs w:val="24"/>
              </w:rPr>
              <w:t>综合状况进行横向对比</w:t>
            </w:r>
            <w:r>
              <w:rPr>
                <w:rFonts w:hint="eastAsia" w:ascii="宋体" w:hAnsi="宋体" w:eastAsia="宋体" w:cs="宋体"/>
                <w:sz w:val="24"/>
                <w:szCs w:val="24"/>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有完善的售后服务</w:t>
            </w:r>
            <w:r>
              <w:rPr>
                <w:rFonts w:hint="eastAsia" w:ascii="宋体" w:hAnsi="宋体" w:eastAsia="宋体" w:cs="宋体"/>
                <w:sz w:val="24"/>
                <w:szCs w:val="24"/>
                <w:lang w:val="en-US" w:eastAsia="zh-CN"/>
              </w:rPr>
              <w:t>方案</w:t>
            </w:r>
            <w:r>
              <w:rPr>
                <w:rFonts w:hint="eastAsia" w:ascii="宋体" w:hAnsi="宋体" w:eastAsia="宋体" w:cs="宋体"/>
                <w:sz w:val="24"/>
                <w:szCs w:val="24"/>
              </w:rPr>
              <w:t>，能提供广东区域内维修服务点证明，评价最优的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得15分</w:t>
            </w:r>
            <w:r>
              <w:rPr>
                <w:rFonts w:hint="eastAsia" w:ascii="宋体" w:hAnsi="宋体" w:eastAsia="宋体" w:cs="宋体"/>
                <w:sz w:val="24"/>
                <w:szCs w:val="24"/>
              </w:rPr>
              <w:t>。</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有比较完善的售后服务</w:t>
            </w:r>
            <w:r>
              <w:rPr>
                <w:rFonts w:hint="eastAsia" w:ascii="宋体" w:hAnsi="宋体" w:eastAsia="宋体" w:cs="宋体"/>
                <w:sz w:val="24"/>
                <w:szCs w:val="24"/>
                <w:lang w:val="en-US" w:eastAsia="zh-CN"/>
              </w:rPr>
              <w:t>方案</w:t>
            </w:r>
            <w:r>
              <w:rPr>
                <w:rFonts w:hint="eastAsia" w:ascii="宋体" w:hAnsi="宋体" w:eastAsia="宋体" w:cs="宋体"/>
                <w:sz w:val="24"/>
                <w:szCs w:val="24"/>
              </w:rPr>
              <w:t>，能提供广东区域内维修服务点证明，评价次之的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得8分</w:t>
            </w:r>
            <w:r>
              <w:rPr>
                <w:rFonts w:hint="eastAsia" w:ascii="宋体" w:hAnsi="宋体" w:eastAsia="宋体" w:cs="宋体"/>
                <w:sz w:val="24"/>
                <w:szCs w:val="24"/>
              </w:rPr>
              <w:t>。</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售后服务</w:t>
            </w:r>
            <w:r>
              <w:rPr>
                <w:rFonts w:hint="eastAsia" w:ascii="宋体" w:hAnsi="宋体" w:eastAsia="宋体" w:cs="宋体"/>
                <w:sz w:val="24"/>
                <w:szCs w:val="24"/>
                <w:lang w:val="en-US" w:eastAsia="zh-CN"/>
              </w:rPr>
              <w:t>方案</w:t>
            </w:r>
            <w:r>
              <w:rPr>
                <w:rFonts w:hint="eastAsia" w:ascii="宋体" w:hAnsi="宋体" w:eastAsia="宋体" w:cs="宋体"/>
                <w:sz w:val="24"/>
                <w:szCs w:val="24"/>
              </w:rPr>
              <w:t>没有具体承诺或没有响应，不能提供广东区域内维修服务点证明，评价较差的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不得分</w:t>
            </w:r>
            <w:r>
              <w:rPr>
                <w:rFonts w:hint="eastAsia" w:ascii="宋体" w:hAnsi="宋体" w:eastAsia="宋体" w:cs="宋体"/>
                <w:sz w:val="24"/>
                <w:szCs w:val="24"/>
              </w:rPr>
              <w:t>。</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注：需提供</w:t>
            </w:r>
            <w:r>
              <w:rPr>
                <w:rFonts w:hint="eastAsia" w:ascii="宋体" w:hAnsi="宋体" w:eastAsia="宋体" w:cs="宋体"/>
                <w:sz w:val="24"/>
                <w:szCs w:val="24"/>
              </w:rPr>
              <w:t>售后服务</w:t>
            </w:r>
            <w:r>
              <w:rPr>
                <w:rFonts w:hint="eastAsia" w:ascii="宋体" w:hAnsi="宋体" w:eastAsia="宋体" w:cs="宋体"/>
                <w:sz w:val="24"/>
                <w:szCs w:val="24"/>
                <w:lang w:val="en-US" w:eastAsia="zh-CN"/>
              </w:rPr>
              <w:t>方案及广东省内维修服务店租赁合同。</w:t>
            </w:r>
          </w:p>
        </w:tc>
        <w:tc>
          <w:tcPr>
            <w:tcW w:w="96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3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同类业务业绩</w:t>
            </w:r>
          </w:p>
        </w:tc>
        <w:tc>
          <w:tcPr>
            <w:tcW w:w="6564" w:type="dxa"/>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CN"/>
              </w:rPr>
              <w:t>提供2019年以来同类国内、国外项目业绩，每提供一项得</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分，最高得</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分。</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注：</w:t>
            </w:r>
            <w:r>
              <w:rPr>
                <w:rFonts w:hint="eastAsia" w:ascii="宋体" w:hAnsi="宋体" w:eastAsia="宋体" w:cs="宋体"/>
                <w:sz w:val="24"/>
                <w:szCs w:val="24"/>
                <w:lang w:eastAsia="zh-CN"/>
              </w:rPr>
              <w:t>提供合同复印件加盖公章</w:t>
            </w:r>
            <w:r>
              <w:rPr>
                <w:rFonts w:hint="eastAsia" w:ascii="宋体" w:hAnsi="宋体" w:eastAsia="宋体" w:cs="宋体"/>
                <w:sz w:val="24"/>
                <w:szCs w:val="24"/>
              </w:rPr>
              <w:t>，没有提供的不得分</w:t>
            </w:r>
          </w:p>
        </w:tc>
        <w:tc>
          <w:tcPr>
            <w:tcW w:w="96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738"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设备制造商履约能力</w:t>
            </w:r>
          </w:p>
        </w:tc>
        <w:tc>
          <w:tcPr>
            <w:tcW w:w="656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生产厂商获得与经营活动有关的荣</w:t>
            </w:r>
            <w:r>
              <w:rPr>
                <w:rFonts w:hint="eastAsia" w:ascii="宋体" w:hAnsi="宋体" w:eastAsia="宋体" w:cs="宋体"/>
                <w:bCs/>
                <w:sz w:val="24"/>
                <w:szCs w:val="24"/>
              </w:rPr>
              <w:t>誉和信誉及取得</w:t>
            </w:r>
            <w:r>
              <w:rPr>
                <w:rFonts w:hint="eastAsia" w:ascii="宋体" w:hAnsi="宋体" w:eastAsia="宋体" w:cs="宋体"/>
                <w:sz w:val="24"/>
                <w:szCs w:val="24"/>
              </w:rPr>
              <w:t>ISO 体系认证等</w:t>
            </w:r>
            <w:r>
              <w:rPr>
                <w:rFonts w:hint="eastAsia" w:ascii="宋体" w:hAnsi="宋体" w:eastAsia="宋体" w:cs="宋体"/>
                <w:bCs/>
                <w:sz w:val="24"/>
                <w:szCs w:val="24"/>
              </w:rPr>
              <w:t>为评分依据。</w:t>
            </w:r>
            <w:r>
              <w:rPr>
                <w:rFonts w:hint="eastAsia" w:ascii="宋体" w:hAnsi="宋体" w:eastAsia="宋体" w:cs="宋体"/>
                <w:sz w:val="24"/>
                <w:szCs w:val="24"/>
              </w:rPr>
              <w:t>每提供一项有效证明的得2分，最高不得超过10分。</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注：提供有效期内的相关荣誉、信誉及认证证书等证明文件，不提供</w:t>
            </w:r>
            <w:r>
              <w:rPr>
                <w:rFonts w:hint="eastAsia" w:ascii="宋体" w:hAnsi="宋体" w:eastAsia="宋体" w:cs="宋体"/>
                <w:sz w:val="24"/>
                <w:szCs w:val="24"/>
              </w:rPr>
              <w:t>不得分。</w:t>
            </w:r>
          </w:p>
        </w:tc>
        <w:tc>
          <w:tcPr>
            <w:tcW w:w="96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073" w:type="dxa"/>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w:t>
            </w:r>
          </w:p>
        </w:tc>
        <w:tc>
          <w:tcPr>
            <w:tcW w:w="965"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40</w:t>
            </w:r>
          </w:p>
        </w:tc>
      </w:tr>
    </w:tbl>
    <w:p>
      <w:pPr>
        <w:pStyle w:val="13"/>
        <w:numPr>
          <w:ilvl w:val="0"/>
          <w:numId w:val="10"/>
        </w:numPr>
        <w:spacing w:line="360" w:lineRule="auto"/>
        <w:ind w:left="425" w:leftChars="0" w:hanging="425" w:firstLineChars="0"/>
        <w:rPr>
          <w:rFonts w:hint="eastAsia" w:ascii="宋体" w:hAnsi="宋体" w:eastAsia="宋体" w:cs="宋体"/>
          <w:b/>
          <w:bCs/>
          <w:kern w:val="2"/>
          <w:sz w:val="24"/>
          <w:szCs w:val="24"/>
        </w:rPr>
      </w:pPr>
      <w:r>
        <w:rPr>
          <w:rFonts w:hint="eastAsia" w:ascii="宋体" w:hAnsi="宋体" w:eastAsia="宋体" w:cs="宋体"/>
          <w:b/>
          <w:bCs/>
          <w:sz w:val="24"/>
          <w:szCs w:val="24"/>
        </w:rPr>
        <w:t>价格评分30分</w:t>
      </w:r>
    </w:p>
    <w:tbl>
      <w:tblPr>
        <w:tblStyle w:val="8"/>
        <w:tblW w:w="985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916"/>
        <w:gridCol w:w="4178"/>
        <w:gridCol w:w="1740"/>
        <w:gridCol w:w="1602"/>
        <w:gridCol w:w="141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685" w:hRule="atLeast"/>
          <w:jc w:val="center"/>
        </w:trPr>
        <w:tc>
          <w:tcPr>
            <w:tcW w:w="916" w:type="dxa"/>
            <w:tcBorders>
              <w:top w:val="single" w:color="000000" w:sz="2" w:space="0"/>
              <w:left w:val="single" w:color="000000" w:sz="2" w:space="0"/>
              <w:bottom w:val="single" w:color="000000" w:sz="2" w:space="0"/>
              <w:right w:val="single" w:color="000000" w:sz="2" w:space="0"/>
            </w:tcBorders>
            <w:shd w:val="clear" w:color="auto" w:fill="E0E0E0"/>
            <w:tcMar>
              <w:top w:w="80" w:type="dxa"/>
              <w:left w:w="80" w:type="dxa"/>
              <w:bottom w:w="80" w:type="dxa"/>
              <w:right w:w="80" w:type="dxa"/>
            </w:tcMar>
            <w:vAlign w:val="center"/>
          </w:tcPr>
          <w:p>
            <w:pPr>
              <w:jc w:val="center"/>
              <w:rPr>
                <w:rFonts w:hint="eastAsia" w:ascii="宋体" w:hAnsi="宋体" w:eastAsia="宋体" w:cs="宋体"/>
              </w:rPr>
            </w:pPr>
            <w:r>
              <w:rPr>
                <w:rFonts w:hint="eastAsia" w:ascii="宋体" w:hAnsi="宋体" w:eastAsia="宋体" w:cs="宋体"/>
                <w:b/>
                <w:bCs/>
                <w:sz w:val="24"/>
                <w:szCs w:val="24"/>
                <w:shd w:val="clear" w:color="auto" w:fill="auto"/>
                <w:rtl w:val="0"/>
                <w:lang w:val="zh-TW" w:eastAsia="zh-TW"/>
              </w:rPr>
              <w:t>序号</w:t>
            </w:r>
          </w:p>
        </w:tc>
        <w:tc>
          <w:tcPr>
            <w:tcW w:w="4178" w:type="dxa"/>
            <w:tcBorders>
              <w:top w:val="single" w:color="000000" w:sz="2" w:space="0"/>
              <w:left w:val="single" w:color="000000" w:sz="2" w:space="0"/>
              <w:bottom w:val="single" w:color="000000" w:sz="2" w:space="0"/>
              <w:right w:val="single" w:color="000000" w:sz="2" w:space="0"/>
            </w:tcBorders>
            <w:shd w:val="clear" w:color="auto" w:fill="E0E0E0"/>
            <w:tcMar>
              <w:top w:w="80" w:type="dxa"/>
              <w:left w:w="80" w:type="dxa"/>
              <w:bottom w:w="80" w:type="dxa"/>
              <w:right w:w="80" w:type="dxa"/>
            </w:tcMar>
            <w:vAlign w:val="center"/>
          </w:tcPr>
          <w:p>
            <w:pPr>
              <w:jc w:val="center"/>
              <w:rPr>
                <w:rFonts w:hint="eastAsia" w:ascii="宋体" w:hAnsi="宋体" w:eastAsia="宋体" w:cs="宋体"/>
              </w:rPr>
            </w:pPr>
            <w:r>
              <w:rPr>
                <w:rFonts w:hint="eastAsia" w:ascii="宋体" w:hAnsi="宋体" w:eastAsia="宋体" w:cs="宋体"/>
                <w:b/>
                <w:bCs/>
                <w:sz w:val="24"/>
                <w:szCs w:val="24"/>
                <w:shd w:val="clear" w:color="auto" w:fill="auto"/>
                <w:rtl w:val="0"/>
                <w:lang w:val="zh-TW" w:eastAsia="zh-TW"/>
              </w:rPr>
              <w:t>报价人</w:t>
            </w:r>
          </w:p>
        </w:tc>
        <w:tc>
          <w:tcPr>
            <w:tcW w:w="1740" w:type="dxa"/>
            <w:tcBorders>
              <w:top w:val="single" w:color="000000" w:sz="2" w:space="0"/>
              <w:left w:val="single" w:color="000000" w:sz="2" w:space="0"/>
              <w:bottom w:val="single" w:color="000000" w:sz="2" w:space="0"/>
              <w:right w:val="single" w:color="000000" w:sz="2" w:space="0"/>
            </w:tcBorders>
            <w:shd w:val="clear" w:color="auto" w:fill="E0E0E0"/>
            <w:tcMar>
              <w:top w:w="80" w:type="dxa"/>
              <w:left w:w="80" w:type="dxa"/>
              <w:bottom w:w="80" w:type="dxa"/>
              <w:right w:w="80" w:type="dxa"/>
            </w:tcMar>
            <w:vAlign w:val="center"/>
          </w:tcPr>
          <w:p>
            <w:pPr>
              <w:jc w:val="center"/>
              <w:rPr>
                <w:rFonts w:hint="eastAsia" w:ascii="宋体" w:hAnsi="宋体" w:eastAsia="宋体" w:cs="宋体"/>
                <w:b/>
                <w:bCs/>
                <w:sz w:val="24"/>
                <w:szCs w:val="24"/>
                <w:shd w:val="clear" w:color="auto" w:fill="auto"/>
              </w:rPr>
            </w:pPr>
            <w:r>
              <w:rPr>
                <w:rFonts w:hint="eastAsia" w:ascii="宋体" w:hAnsi="宋体" w:eastAsia="宋体" w:cs="宋体"/>
                <w:b/>
                <w:bCs/>
                <w:sz w:val="24"/>
                <w:szCs w:val="24"/>
                <w:shd w:val="clear" w:color="auto" w:fill="auto"/>
                <w:rtl w:val="0"/>
                <w:lang w:val="zh-TW" w:eastAsia="zh-TW"/>
              </w:rPr>
              <w:t>投标报价</w:t>
            </w:r>
          </w:p>
          <w:p>
            <w:pPr>
              <w:bidi w:val="0"/>
              <w:ind w:left="0" w:right="0" w:firstLine="0"/>
              <w:jc w:val="center"/>
              <w:rPr>
                <w:rFonts w:hint="eastAsia" w:ascii="宋体" w:hAnsi="宋体" w:eastAsia="宋体" w:cs="宋体"/>
                <w:rtl w:val="0"/>
              </w:rPr>
            </w:pPr>
            <w:r>
              <w:rPr>
                <w:rFonts w:hint="eastAsia" w:ascii="宋体" w:hAnsi="宋体" w:eastAsia="宋体" w:cs="宋体"/>
                <w:b/>
                <w:bCs/>
                <w:sz w:val="24"/>
                <w:szCs w:val="24"/>
                <w:shd w:val="clear" w:color="auto" w:fill="auto"/>
                <w:rtl w:val="0"/>
                <w:lang w:val="zh-TW" w:eastAsia="zh-TW"/>
              </w:rPr>
              <w:t>（人民币）</w:t>
            </w:r>
          </w:p>
        </w:tc>
        <w:tc>
          <w:tcPr>
            <w:tcW w:w="1602" w:type="dxa"/>
            <w:tcBorders>
              <w:top w:val="single" w:color="000000" w:sz="2" w:space="0"/>
              <w:left w:val="single" w:color="000000" w:sz="2" w:space="0"/>
              <w:bottom w:val="single" w:color="000000" w:sz="2" w:space="0"/>
              <w:right w:val="single" w:color="000000" w:sz="2" w:space="0"/>
            </w:tcBorders>
            <w:shd w:val="clear" w:color="auto" w:fill="E0E0E0"/>
            <w:tcMar>
              <w:top w:w="80" w:type="dxa"/>
              <w:left w:w="80" w:type="dxa"/>
              <w:bottom w:w="80" w:type="dxa"/>
              <w:right w:w="80" w:type="dxa"/>
            </w:tcMar>
            <w:vAlign w:val="center"/>
          </w:tcPr>
          <w:p>
            <w:pPr>
              <w:jc w:val="center"/>
              <w:rPr>
                <w:rFonts w:hint="eastAsia" w:ascii="宋体" w:hAnsi="宋体" w:eastAsia="宋体" w:cs="宋体"/>
                <w:b/>
                <w:bCs/>
                <w:sz w:val="24"/>
                <w:szCs w:val="24"/>
                <w:shd w:val="clear" w:color="auto" w:fill="auto"/>
              </w:rPr>
            </w:pPr>
            <w:r>
              <w:rPr>
                <w:rFonts w:hint="eastAsia" w:ascii="宋体" w:hAnsi="宋体" w:eastAsia="宋体" w:cs="宋体"/>
                <w:b/>
                <w:bCs/>
                <w:sz w:val="24"/>
                <w:szCs w:val="24"/>
                <w:shd w:val="clear" w:color="auto" w:fill="auto"/>
                <w:rtl w:val="0"/>
                <w:lang w:val="zh-TW" w:eastAsia="zh-TW"/>
              </w:rPr>
              <w:t>基准价</w:t>
            </w:r>
          </w:p>
          <w:p>
            <w:pPr>
              <w:bidi w:val="0"/>
              <w:ind w:left="0" w:right="0" w:firstLine="0"/>
              <w:jc w:val="center"/>
              <w:rPr>
                <w:rFonts w:hint="eastAsia" w:ascii="宋体" w:hAnsi="宋体" w:eastAsia="宋体" w:cs="宋体"/>
                <w:rtl w:val="0"/>
              </w:rPr>
            </w:pPr>
            <w:r>
              <w:rPr>
                <w:rFonts w:hint="eastAsia" w:ascii="宋体" w:hAnsi="宋体" w:eastAsia="宋体" w:cs="宋体"/>
                <w:b/>
                <w:bCs/>
                <w:sz w:val="24"/>
                <w:szCs w:val="24"/>
                <w:shd w:val="clear" w:color="auto" w:fill="auto"/>
                <w:rtl w:val="0"/>
                <w:lang w:val="zh-TW" w:eastAsia="zh-TW"/>
              </w:rPr>
              <w:t>（人民币）</w:t>
            </w:r>
          </w:p>
        </w:tc>
        <w:tc>
          <w:tcPr>
            <w:tcW w:w="1414" w:type="dxa"/>
            <w:tcBorders>
              <w:top w:val="single" w:color="000000" w:sz="2" w:space="0"/>
              <w:left w:val="single" w:color="000000" w:sz="2" w:space="0"/>
              <w:bottom w:val="single" w:color="000000" w:sz="2" w:space="0"/>
              <w:right w:val="single" w:color="000000" w:sz="2" w:space="0"/>
            </w:tcBorders>
            <w:shd w:val="clear" w:color="auto" w:fill="E0E0E0"/>
            <w:tcMar>
              <w:top w:w="80" w:type="dxa"/>
              <w:left w:w="80" w:type="dxa"/>
              <w:bottom w:w="80" w:type="dxa"/>
              <w:right w:w="80" w:type="dxa"/>
            </w:tcMar>
            <w:vAlign w:val="center"/>
          </w:tcPr>
          <w:p>
            <w:pPr>
              <w:jc w:val="center"/>
              <w:rPr>
                <w:rFonts w:hint="eastAsia" w:ascii="宋体" w:hAnsi="宋体" w:eastAsia="宋体" w:cs="宋体"/>
              </w:rPr>
            </w:pPr>
            <w:r>
              <w:rPr>
                <w:rFonts w:hint="eastAsia" w:ascii="宋体" w:hAnsi="宋体" w:eastAsia="宋体" w:cs="宋体"/>
                <w:b/>
                <w:bCs/>
                <w:sz w:val="24"/>
                <w:szCs w:val="24"/>
                <w:shd w:val="clear" w:color="auto" w:fill="auto"/>
                <w:rtl w:val="0"/>
                <w:lang w:val="zh-TW" w:eastAsia="zh-TW"/>
              </w:rPr>
              <w:t>价格得分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285" w:hRule="atLeast"/>
          <w:jc w:val="center"/>
        </w:trPr>
        <w:tc>
          <w:tcPr>
            <w:tcW w:w="91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top"/>
          </w:tcPr>
          <w:p>
            <w:pPr>
              <w:rPr>
                <w:rFonts w:hint="eastAsia" w:ascii="宋体" w:hAnsi="宋体" w:eastAsia="宋体" w:cs="宋体"/>
              </w:rPr>
            </w:pPr>
          </w:p>
        </w:tc>
        <w:tc>
          <w:tcPr>
            <w:tcW w:w="417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top"/>
          </w:tcPr>
          <w:p>
            <w:pPr>
              <w:rPr>
                <w:rFonts w:hint="eastAsia" w:ascii="宋体" w:hAnsi="宋体" w:eastAsia="宋体" w:cs="宋体"/>
              </w:rPr>
            </w:pPr>
          </w:p>
        </w:tc>
        <w:tc>
          <w:tcPr>
            <w:tcW w:w="174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top"/>
          </w:tcPr>
          <w:p>
            <w:pPr>
              <w:rPr>
                <w:rFonts w:hint="eastAsia" w:ascii="宋体" w:hAnsi="宋体" w:eastAsia="宋体" w:cs="宋体"/>
              </w:rPr>
            </w:pPr>
          </w:p>
        </w:tc>
        <w:tc>
          <w:tcPr>
            <w:tcW w:w="160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top"/>
          </w:tcPr>
          <w:p>
            <w:pPr>
              <w:rPr>
                <w:rFonts w:hint="eastAsia" w:ascii="宋体" w:hAnsi="宋体" w:eastAsia="宋体" w:cs="宋体"/>
              </w:rPr>
            </w:pPr>
          </w:p>
        </w:tc>
        <w:tc>
          <w:tcPr>
            <w:tcW w:w="1414"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top"/>
          </w:tcPr>
          <w:p>
            <w:pPr>
              <w:rPr>
                <w:rFonts w:hint="eastAsia" w:ascii="宋体" w:hAnsi="宋体" w:eastAsia="宋体" w:cs="宋体"/>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285" w:hRule="atLeast"/>
          <w:jc w:val="center"/>
        </w:trPr>
        <w:tc>
          <w:tcPr>
            <w:tcW w:w="91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top"/>
          </w:tcPr>
          <w:p>
            <w:pPr>
              <w:rPr>
                <w:rFonts w:hint="eastAsia" w:ascii="宋体" w:hAnsi="宋体" w:eastAsia="宋体" w:cs="宋体"/>
              </w:rPr>
            </w:pPr>
          </w:p>
        </w:tc>
        <w:tc>
          <w:tcPr>
            <w:tcW w:w="417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top"/>
          </w:tcPr>
          <w:p>
            <w:pPr>
              <w:rPr>
                <w:rFonts w:hint="eastAsia" w:ascii="宋体" w:hAnsi="宋体" w:eastAsia="宋体" w:cs="宋体"/>
              </w:rPr>
            </w:pPr>
          </w:p>
        </w:tc>
        <w:tc>
          <w:tcPr>
            <w:tcW w:w="174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top"/>
          </w:tcPr>
          <w:p>
            <w:pPr>
              <w:rPr>
                <w:rFonts w:hint="eastAsia" w:ascii="宋体" w:hAnsi="宋体" w:eastAsia="宋体" w:cs="宋体"/>
              </w:rPr>
            </w:pPr>
          </w:p>
        </w:tc>
        <w:tc>
          <w:tcPr>
            <w:tcW w:w="160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top"/>
          </w:tcPr>
          <w:p>
            <w:pPr>
              <w:rPr>
                <w:rFonts w:hint="eastAsia" w:ascii="宋体" w:hAnsi="宋体" w:eastAsia="宋体" w:cs="宋体"/>
              </w:rPr>
            </w:pPr>
          </w:p>
        </w:tc>
        <w:tc>
          <w:tcPr>
            <w:tcW w:w="1414"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top"/>
          </w:tcPr>
          <w:p>
            <w:pPr>
              <w:rPr>
                <w:rFonts w:hint="eastAsia" w:ascii="宋体" w:hAnsi="宋体" w:eastAsia="宋体" w:cs="宋体"/>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285" w:hRule="atLeast"/>
          <w:jc w:val="center"/>
        </w:trPr>
        <w:tc>
          <w:tcPr>
            <w:tcW w:w="91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top"/>
          </w:tcPr>
          <w:p>
            <w:pPr>
              <w:rPr>
                <w:rFonts w:hint="eastAsia" w:ascii="宋体" w:hAnsi="宋体" w:eastAsia="宋体" w:cs="宋体"/>
              </w:rPr>
            </w:pPr>
          </w:p>
        </w:tc>
        <w:tc>
          <w:tcPr>
            <w:tcW w:w="417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top"/>
          </w:tcPr>
          <w:p>
            <w:pPr>
              <w:rPr>
                <w:rFonts w:hint="eastAsia" w:ascii="宋体" w:hAnsi="宋体" w:eastAsia="宋体" w:cs="宋体"/>
              </w:rPr>
            </w:pPr>
          </w:p>
        </w:tc>
        <w:tc>
          <w:tcPr>
            <w:tcW w:w="174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top"/>
          </w:tcPr>
          <w:p>
            <w:pPr>
              <w:rPr>
                <w:rFonts w:hint="eastAsia" w:ascii="宋体" w:hAnsi="宋体" w:eastAsia="宋体" w:cs="宋体"/>
              </w:rPr>
            </w:pPr>
          </w:p>
        </w:tc>
        <w:tc>
          <w:tcPr>
            <w:tcW w:w="160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top"/>
          </w:tcPr>
          <w:p>
            <w:pPr>
              <w:rPr>
                <w:rFonts w:hint="eastAsia" w:ascii="宋体" w:hAnsi="宋体" w:eastAsia="宋体" w:cs="宋体"/>
              </w:rPr>
            </w:pPr>
          </w:p>
        </w:tc>
        <w:tc>
          <w:tcPr>
            <w:tcW w:w="1414"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top"/>
          </w:tcPr>
          <w:p>
            <w:pPr>
              <w:rPr>
                <w:rFonts w:hint="eastAsia" w:ascii="宋体" w:hAnsi="宋体" w:eastAsia="宋体" w:cs="宋体"/>
              </w:rPr>
            </w:pPr>
          </w:p>
        </w:tc>
      </w:tr>
    </w:tbl>
    <w:p>
      <w:pPr>
        <w:spacing w:line="360" w:lineRule="auto"/>
        <w:ind w:left="1029" w:hanging="1029"/>
        <w:jc w:val="left"/>
        <w:rPr>
          <w:rFonts w:hint="eastAsia" w:ascii="宋体" w:hAnsi="宋体" w:eastAsia="宋体" w:cs="宋体"/>
          <w:b/>
          <w:bCs/>
          <w:sz w:val="24"/>
          <w:szCs w:val="32"/>
          <w:rtl w:val="0"/>
          <w:lang w:val="en-US"/>
        </w:rPr>
      </w:pPr>
      <w:r>
        <w:rPr>
          <w:rFonts w:hint="eastAsia" w:ascii="宋体" w:hAnsi="宋体" w:eastAsia="宋体" w:cs="宋体"/>
          <w:b/>
          <w:bCs/>
          <w:sz w:val="24"/>
          <w:szCs w:val="32"/>
          <w:rtl w:val="0"/>
          <w:lang w:val="zh-TW" w:eastAsia="zh-TW"/>
        </w:rPr>
        <w:t>【备 注】 价格得分采用低价优先法计算，即满足采购文件要求且投标价格最低的投标报价为评标基准价，其价格得分为</w:t>
      </w:r>
      <w:r>
        <w:rPr>
          <w:rFonts w:hint="eastAsia" w:ascii="宋体" w:hAnsi="宋体" w:eastAsia="宋体" w:cs="宋体"/>
          <w:b/>
          <w:bCs/>
          <w:sz w:val="24"/>
          <w:szCs w:val="32"/>
          <w:rtl w:val="0"/>
          <w:lang w:val="en-US"/>
        </w:rPr>
        <w:t>30</w:t>
      </w:r>
      <w:r>
        <w:rPr>
          <w:rFonts w:hint="eastAsia" w:ascii="宋体" w:hAnsi="宋体" w:eastAsia="宋体" w:cs="宋体"/>
          <w:b/>
          <w:bCs/>
          <w:sz w:val="24"/>
          <w:szCs w:val="32"/>
          <w:rtl w:val="0"/>
          <w:lang w:val="zh-TW" w:eastAsia="zh-TW"/>
        </w:rPr>
        <w:t>分；其他报价人的价格得分按如下公式计算：价格得分</w:t>
      </w:r>
      <w:r>
        <w:rPr>
          <w:rFonts w:hint="eastAsia" w:ascii="宋体" w:hAnsi="宋体" w:eastAsia="宋体" w:cs="宋体"/>
          <w:b/>
          <w:bCs/>
          <w:sz w:val="24"/>
          <w:szCs w:val="32"/>
          <w:rtl w:val="0"/>
          <w:lang w:val="en-US"/>
        </w:rPr>
        <w:t>=</w:t>
      </w:r>
      <w:r>
        <w:rPr>
          <w:rFonts w:hint="eastAsia" w:ascii="宋体" w:hAnsi="宋体" w:eastAsia="宋体" w:cs="宋体"/>
          <w:b/>
          <w:bCs/>
          <w:sz w:val="24"/>
          <w:szCs w:val="32"/>
          <w:rtl w:val="0"/>
          <w:lang w:val="zh-TW" w:eastAsia="zh-TW"/>
        </w:rPr>
        <w:t>（评标基准价</w:t>
      </w:r>
      <w:r>
        <w:rPr>
          <w:rFonts w:hint="eastAsia" w:ascii="宋体" w:hAnsi="宋体" w:eastAsia="宋体" w:cs="宋体"/>
          <w:b/>
          <w:bCs/>
          <w:sz w:val="24"/>
          <w:szCs w:val="32"/>
          <w:rtl w:val="0"/>
          <w:lang w:val="en-US"/>
        </w:rPr>
        <w:t>÷</w:t>
      </w:r>
      <w:r>
        <w:rPr>
          <w:rFonts w:hint="eastAsia" w:ascii="宋体" w:hAnsi="宋体" w:eastAsia="宋体" w:cs="宋体"/>
          <w:b/>
          <w:bCs/>
          <w:sz w:val="24"/>
          <w:szCs w:val="32"/>
          <w:rtl w:val="0"/>
          <w:lang w:val="zh-TW" w:eastAsia="zh-TW"/>
        </w:rPr>
        <w:t>投标报价）</w:t>
      </w:r>
      <w:r>
        <w:rPr>
          <w:rFonts w:hint="eastAsia" w:ascii="宋体" w:hAnsi="宋体" w:eastAsia="宋体" w:cs="宋体"/>
          <w:b/>
          <w:bCs/>
          <w:sz w:val="24"/>
          <w:szCs w:val="32"/>
          <w:rtl w:val="0"/>
          <w:lang w:val="en-US"/>
        </w:rPr>
        <w:t>×30</w:t>
      </w:r>
    </w:p>
    <w:p>
      <w:pPr>
        <w:numPr>
          <w:ilvl w:val="0"/>
          <w:numId w:val="1"/>
        </w:numPr>
        <w:spacing w:line="360" w:lineRule="auto"/>
        <w:ind w:left="0" w:leftChars="0" w:firstLine="0" w:firstLineChars="0"/>
        <w:outlineLvl w:val="0"/>
        <w:rPr>
          <w:rFonts w:ascii="宋体" w:hAnsi="宋体"/>
          <w:b/>
          <w:color w:val="auto"/>
          <w:sz w:val="24"/>
        </w:rPr>
      </w:pPr>
      <w:r>
        <w:rPr>
          <w:rFonts w:hint="eastAsia" w:ascii="宋体" w:hAnsi="宋体"/>
          <w:b/>
          <w:color w:val="auto"/>
          <w:sz w:val="24"/>
        </w:rPr>
        <w:t>合同</w:t>
      </w:r>
      <w:r>
        <w:rPr>
          <w:rFonts w:hint="eastAsia" w:ascii="宋体" w:hAnsi="宋体" w:eastAsia="宋体" w:cs="宋体"/>
          <w:b/>
          <w:color w:val="auto"/>
          <w:sz w:val="24"/>
          <w:szCs w:val="24"/>
        </w:rPr>
        <w:t>样板</w:t>
      </w:r>
    </w:p>
    <w:p>
      <w:pPr>
        <w:pStyle w:val="3"/>
        <w:spacing w:line="480" w:lineRule="auto"/>
        <w:jc w:val="center"/>
        <w:rPr>
          <w:rFonts w:ascii="宋体" w:hAnsi="宋体" w:cs="宋体"/>
          <w:b/>
          <w:sz w:val="28"/>
          <w:szCs w:val="28"/>
        </w:rPr>
      </w:pPr>
      <w:r>
        <w:rPr>
          <w:rFonts w:hint="eastAsia" w:ascii="宋体" w:hAnsi="宋体" w:cs="宋体"/>
          <w:b/>
          <w:sz w:val="28"/>
          <w:szCs w:val="28"/>
        </w:rPr>
        <w:t>广州市杏林卫生服务有限责任公司</w:t>
      </w:r>
    </w:p>
    <w:p>
      <w:pPr>
        <w:pStyle w:val="3"/>
        <w:spacing w:line="480" w:lineRule="auto"/>
        <w:jc w:val="center"/>
        <w:rPr>
          <w:rFonts w:ascii="宋体" w:hAnsi="宋体" w:cs="宋体"/>
          <w:b/>
          <w:sz w:val="28"/>
          <w:szCs w:val="28"/>
        </w:rPr>
      </w:pPr>
      <w:r>
        <w:rPr>
          <w:rFonts w:hint="eastAsia" w:ascii="宋体" w:hAnsi="宋体" w:cs="宋体"/>
          <w:b/>
          <w:sz w:val="28"/>
          <w:szCs w:val="28"/>
        </w:rPr>
        <w:t>贯穿式烘干机采购合同书</w:t>
      </w:r>
    </w:p>
    <w:p>
      <w:pPr>
        <w:tabs>
          <w:tab w:val="left" w:pos="720"/>
        </w:tabs>
        <w:spacing w:line="360" w:lineRule="auto"/>
        <w:rPr>
          <w:rFonts w:hint="eastAsia" w:ascii="宋体" w:hAnsi="宋体" w:eastAsia="宋体" w:cs="宋体"/>
          <w:b/>
          <w:sz w:val="24"/>
          <w:szCs w:val="24"/>
        </w:rPr>
      </w:pPr>
      <w:r>
        <w:rPr>
          <w:rFonts w:hint="eastAsia" w:ascii="宋体" w:hAnsi="宋体" w:eastAsia="宋体" w:cs="宋体"/>
          <w:b/>
          <w:sz w:val="24"/>
          <w:szCs w:val="24"/>
        </w:rPr>
        <w:t>甲    方：</w:t>
      </w:r>
      <w:r>
        <w:rPr>
          <w:rFonts w:hint="eastAsia" w:ascii="宋体" w:hAnsi="宋体" w:eastAsia="宋体" w:cs="宋体"/>
          <w:b/>
          <w:sz w:val="24"/>
          <w:szCs w:val="24"/>
          <w:u w:val="single"/>
        </w:rPr>
        <w:t xml:space="preserve">   </w:t>
      </w:r>
      <w:r>
        <w:rPr>
          <w:rFonts w:hint="eastAsia" w:ascii="宋体" w:hAnsi="宋体" w:eastAsia="宋体" w:cs="宋体"/>
          <w:bCs/>
          <w:sz w:val="24"/>
          <w:szCs w:val="24"/>
          <w:u w:val="single"/>
        </w:rPr>
        <w:t xml:space="preserve"> 广州市杏林卫生服务有限责任公司  </w:t>
      </w:r>
      <w:r>
        <w:rPr>
          <w:rFonts w:hint="eastAsia" w:ascii="宋体" w:hAnsi="宋体" w:eastAsia="宋体" w:cs="宋体"/>
          <w:b/>
          <w:bCs/>
          <w:sz w:val="24"/>
          <w:szCs w:val="24"/>
          <w:u w:val="single"/>
        </w:rPr>
        <w:t xml:space="preserve">                            </w:t>
      </w:r>
      <w:r>
        <w:rPr>
          <w:rFonts w:hint="eastAsia" w:ascii="宋体" w:hAnsi="宋体" w:eastAsia="宋体" w:cs="宋体"/>
          <w:b/>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020-84688072           </w:t>
      </w:r>
      <w:r>
        <w:rPr>
          <w:rFonts w:hint="eastAsia" w:ascii="宋体" w:hAnsi="宋体" w:eastAsia="宋体" w:cs="宋体"/>
          <w:sz w:val="24"/>
          <w:szCs w:val="24"/>
        </w:rPr>
        <w:t xml:space="preserve">  传    真：</w:t>
      </w:r>
      <w:r>
        <w:rPr>
          <w:rFonts w:hint="eastAsia" w:ascii="宋体" w:hAnsi="宋体" w:eastAsia="宋体" w:cs="宋体"/>
          <w:sz w:val="24"/>
          <w:szCs w:val="24"/>
          <w:u w:val="single"/>
        </w:rPr>
        <w:t xml:space="preserve"> /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广州市南沙区黄阁镇鸡谷山路80、82号自编6栋厂房                                           </w:t>
      </w:r>
    </w:p>
    <w:p>
      <w:pPr>
        <w:spacing w:line="360" w:lineRule="auto"/>
        <w:rPr>
          <w:rFonts w:hint="eastAsia" w:ascii="宋体" w:hAnsi="宋体" w:eastAsia="宋体" w:cs="宋体"/>
          <w:b/>
          <w:sz w:val="24"/>
          <w:szCs w:val="24"/>
          <w:u w:val="single"/>
        </w:rPr>
      </w:pPr>
      <w:r>
        <w:rPr>
          <w:rFonts w:hint="eastAsia" w:ascii="宋体" w:hAnsi="宋体" w:eastAsia="宋体" w:cs="宋体"/>
          <w:b/>
          <w:sz w:val="24"/>
          <w:szCs w:val="24"/>
        </w:rPr>
        <w:t>乙    方：</w:t>
      </w:r>
      <w:r>
        <w:rPr>
          <w:rFonts w:hint="eastAsia" w:ascii="宋体" w:hAnsi="宋体" w:eastAsia="宋体" w:cs="宋体"/>
          <w:b/>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    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b/>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3"/>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根据《中华人民共和国民法典》及相关规定，甲、乙双方本着平等互利的原则，经友好协议，就甲方向乙方采购隔离式洗脱机的事宜达成一致并同意签订本《贯穿式烘干机采购合同书》。本合同经甲、乙双方书面授权的授权代表签署后生效，扫描件与原件具有同等效力。</w:t>
      </w:r>
    </w:p>
    <w:p>
      <w:pPr>
        <w:numPr>
          <w:ilvl w:val="0"/>
          <w:numId w:val="12"/>
        </w:numPr>
        <w:spacing w:line="360" w:lineRule="auto"/>
        <w:rPr>
          <w:rFonts w:hint="eastAsia" w:ascii="宋体" w:hAnsi="宋体" w:eastAsia="宋体" w:cs="宋体"/>
          <w:sz w:val="24"/>
          <w:szCs w:val="24"/>
        </w:rPr>
      </w:pPr>
      <w:r>
        <w:rPr>
          <w:rFonts w:hint="eastAsia" w:ascii="宋体" w:hAnsi="宋体" w:eastAsia="宋体" w:cs="宋体"/>
          <w:b/>
          <w:sz w:val="24"/>
          <w:szCs w:val="24"/>
        </w:rPr>
        <w:t>供货设备</w:t>
      </w:r>
    </w:p>
    <w:tbl>
      <w:tblPr>
        <w:tblStyle w:val="8"/>
        <w:tblW w:w="8198" w:type="dxa"/>
        <w:tblInd w:w="0" w:type="dxa"/>
        <w:tblLayout w:type="autofit"/>
        <w:tblCellMar>
          <w:top w:w="0" w:type="dxa"/>
          <w:left w:w="108" w:type="dxa"/>
          <w:bottom w:w="0" w:type="dxa"/>
          <w:right w:w="108" w:type="dxa"/>
        </w:tblCellMar>
      </w:tblPr>
      <w:tblGrid>
        <w:gridCol w:w="1190"/>
        <w:gridCol w:w="1750"/>
        <w:gridCol w:w="1749"/>
        <w:gridCol w:w="1873"/>
        <w:gridCol w:w="1636"/>
      </w:tblGrid>
      <w:tr>
        <w:tblPrEx>
          <w:tblCellMar>
            <w:top w:w="0" w:type="dxa"/>
            <w:left w:w="108" w:type="dxa"/>
            <w:bottom w:w="0" w:type="dxa"/>
            <w:right w:w="108" w:type="dxa"/>
          </w:tblCellMar>
        </w:tblPrEx>
        <w:trPr>
          <w:trHeight w:val="825" w:hRule="atLeast"/>
        </w:trPr>
        <w:tc>
          <w:tcPr>
            <w:tcW w:w="119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5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174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品牌型号</w:t>
            </w:r>
          </w:p>
        </w:tc>
        <w:tc>
          <w:tcPr>
            <w:tcW w:w="187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63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CellMar>
            <w:top w:w="0" w:type="dxa"/>
            <w:left w:w="108" w:type="dxa"/>
            <w:bottom w:w="0" w:type="dxa"/>
            <w:right w:w="108" w:type="dxa"/>
          </w:tblCellMar>
        </w:tblPrEx>
        <w:trPr>
          <w:trHeight w:val="688" w:hRule="atLeast"/>
        </w:trPr>
        <w:tc>
          <w:tcPr>
            <w:tcW w:w="119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749"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rPr>
            </w:pPr>
          </w:p>
        </w:tc>
        <w:tc>
          <w:tcPr>
            <w:tcW w:w="187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63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rPr>
            </w:pPr>
          </w:p>
        </w:tc>
      </w:tr>
    </w:tbl>
    <w:p>
      <w:pPr>
        <w:numPr>
          <w:ilvl w:val="0"/>
          <w:numId w:val="12"/>
        </w:numPr>
        <w:spacing w:line="360" w:lineRule="auto"/>
        <w:rPr>
          <w:rFonts w:hint="eastAsia" w:ascii="宋体" w:hAnsi="宋体" w:eastAsia="宋体" w:cs="宋体"/>
          <w:sz w:val="24"/>
          <w:szCs w:val="24"/>
        </w:rPr>
      </w:pPr>
      <w:r>
        <w:rPr>
          <w:rFonts w:hint="eastAsia" w:ascii="宋体" w:hAnsi="宋体" w:eastAsia="宋体" w:cs="宋体"/>
          <w:b/>
          <w:sz w:val="24"/>
          <w:szCs w:val="24"/>
        </w:rPr>
        <w:t>合同金额</w:t>
      </w:r>
    </w:p>
    <w:p>
      <w:pPr>
        <w:pStyle w:val="12"/>
        <w:numPr>
          <w:ilvl w:val="0"/>
          <w:numId w:val="13"/>
        </w:numPr>
        <w:spacing w:line="360" w:lineRule="auto"/>
        <w:rPr>
          <w:rFonts w:hint="eastAsia" w:ascii="宋体" w:hAnsi="宋体" w:eastAsia="宋体" w:cs="宋体"/>
          <w:kern w:val="2"/>
          <w:sz w:val="24"/>
          <w:szCs w:val="24"/>
        </w:rPr>
      </w:pPr>
      <w:r>
        <w:rPr>
          <w:rFonts w:hint="eastAsia" w:ascii="宋体" w:hAnsi="宋体" w:eastAsia="宋体" w:cs="宋体"/>
          <w:sz w:val="24"/>
          <w:szCs w:val="24"/>
        </w:rPr>
        <w:t>合同总金额：小写：</w:t>
      </w:r>
      <w:r>
        <w:rPr>
          <w:rFonts w:hint="eastAsia" w:ascii="宋体" w:hAnsi="宋体" w:eastAsia="宋体" w:cs="宋体"/>
          <w:sz w:val="24"/>
          <w:szCs w:val="24"/>
          <w:u w:val="single"/>
        </w:rPr>
        <w:t xml:space="preserve">    </w:t>
      </w:r>
      <w:r>
        <w:rPr>
          <w:rFonts w:hint="eastAsia" w:ascii="宋体" w:hAnsi="宋体" w:eastAsia="宋体" w:cs="宋体"/>
          <w:sz w:val="24"/>
          <w:szCs w:val="24"/>
        </w:rPr>
        <w:t>¥； 大写：人民币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合同金额包括（1）所有货物购置费、专用工具费、包装运输费、技术支持费、装卸费、保险费、安装调试费、税费、所有需要向第三方支付的知识产权费用以及质量保证期内的维修保养费在内的费用；（2）人员培训和售后服务的相关费用；（3）</w:t>
      </w:r>
      <w:r>
        <w:rPr>
          <w:rFonts w:hint="eastAsia" w:ascii="宋体" w:hAnsi="宋体" w:eastAsia="宋体" w:cs="宋体"/>
          <w:kern w:val="2"/>
          <w:sz w:val="24"/>
          <w:szCs w:val="24"/>
        </w:rPr>
        <w:t>烘干机的安装、调试等费用，包括在安装过程中所需使用的蒸汽管、风管、排风管、除尘、电缆、以及拆和装原有间隔板、延长穿梭机轨道等一切设施设备所需费用，确保3台烘干机在安装后与现有设备相连贯正常使用</w:t>
      </w:r>
      <w:r>
        <w:rPr>
          <w:rFonts w:hint="eastAsia" w:ascii="宋体" w:hAnsi="宋体" w:eastAsia="宋体" w:cs="宋体"/>
          <w:sz w:val="24"/>
          <w:szCs w:val="24"/>
        </w:rPr>
        <w:t>（4）其他在项目合同实施过程中应预见及不可预见的一切费用。</w:t>
      </w:r>
    </w:p>
    <w:p>
      <w:pPr>
        <w:numPr>
          <w:ilvl w:val="0"/>
          <w:numId w:val="12"/>
        </w:numPr>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★付款方式： </w:t>
      </w:r>
    </w:p>
    <w:p>
      <w:pPr>
        <w:pStyle w:val="12"/>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1期：支付比例30%，设备到货清点完毕后支付合同金额的30%（不计利息）；</w:t>
      </w:r>
    </w:p>
    <w:p>
      <w:pPr>
        <w:pStyle w:val="12"/>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2期：支付比例65%，设备安装验收合格后</w:t>
      </w:r>
      <w:r>
        <w:rPr>
          <w:rFonts w:hint="eastAsia" w:ascii="宋体" w:hAnsi="宋体" w:eastAsia="宋体" w:cs="宋体"/>
          <w:bCs w:val="0"/>
          <w:color w:val="000000" w:themeColor="text1"/>
          <w:sz w:val="24"/>
          <w:szCs w:val="24"/>
          <w14:textFill>
            <w14:solidFill>
              <w14:schemeClr w14:val="tx1"/>
            </w14:solidFill>
          </w14:textFill>
        </w:rPr>
        <w:t>30个工作日内</w:t>
      </w:r>
      <w:r>
        <w:rPr>
          <w:rFonts w:hint="eastAsia" w:ascii="宋体" w:hAnsi="宋体" w:eastAsia="宋体" w:cs="宋体"/>
          <w:sz w:val="24"/>
          <w:szCs w:val="24"/>
        </w:rPr>
        <w:t>支付合同金额的65%（不计利息）；</w:t>
      </w:r>
    </w:p>
    <w:p>
      <w:pPr>
        <w:pStyle w:val="12"/>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3期：支付比例5%，剩余合同金额的5%于验收合格之日起满一年后30个工作日内支付清（不计利息）。</w:t>
      </w:r>
    </w:p>
    <w:p>
      <w:pPr>
        <w:pStyle w:val="12"/>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每笔款项支付时，</w:t>
      </w:r>
      <w:r>
        <w:rPr>
          <w:rFonts w:hint="eastAsia" w:ascii="宋体" w:hAnsi="宋体" w:eastAsia="宋体" w:cs="宋体"/>
          <w:sz w:val="24"/>
          <w:szCs w:val="24"/>
          <w:lang w:val="en-US" w:eastAsia="zh-CN"/>
        </w:rPr>
        <w:t>乙方</w:t>
      </w:r>
      <w:r>
        <w:rPr>
          <w:rFonts w:hint="eastAsia" w:ascii="宋体" w:hAnsi="宋体" w:eastAsia="宋体" w:cs="宋体"/>
          <w:sz w:val="24"/>
          <w:szCs w:val="24"/>
        </w:rPr>
        <w:t>同时向</w:t>
      </w:r>
      <w:r>
        <w:rPr>
          <w:rFonts w:hint="eastAsia" w:ascii="宋体" w:hAnsi="宋体" w:eastAsia="宋体" w:cs="宋体"/>
          <w:sz w:val="24"/>
          <w:szCs w:val="24"/>
          <w:lang w:val="en-US" w:eastAsia="zh-CN"/>
        </w:rPr>
        <w:t>甲方</w:t>
      </w:r>
      <w:r>
        <w:rPr>
          <w:rFonts w:hint="eastAsia" w:ascii="宋体" w:hAnsi="宋体" w:eastAsia="宋体" w:cs="宋体"/>
          <w:sz w:val="24"/>
          <w:szCs w:val="24"/>
        </w:rPr>
        <w:t>提供相应金额的正式发票（开全额发票除外）、合同复印件、请款申请、营业执照复印件。</w:t>
      </w:r>
    </w:p>
    <w:p>
      <w:pPr>
        <w:numPr>
          <w:ilvl w:val="0"/>
          <w:numId w:val="12"/>
        </w:numPr>
        <w:spacing w:line="360" w:lineRule="auto"/>
        <w:rPr>
          <w:rFonts w:hint="eastAsia" w:ascii="宋体" w:hAnsi="宋体" w:eastAsia="宋体" w:cs="宋体"/>
          <w:b/>
          <w:sz w:val="24"/>
          <w:szCs w:val="24"/>
        </w:rPr>
      </w:pPr>
      <w:r>
        <w:rPr>
          <w:rFonts w:hint="eastAsia" w:ascii="宋体" w:hAnsi="宋体" w:eastAsia="宋体" w:cs="宋体"/>
          <w:b/>
          <w:sz w:val="24"/>
          <w:szCs w:val="24"/>
        </w:rPr>
        <w:t>项目技术要求</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1．贯穿式烘干机的工作电源均采用三相交流380V（±10%）、50Hz（±1）。设备应能在环境温度-8~+45度的条件下，连续运行24小时以上。</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贯穿式烘干机的设计和制造应符合ISO标准。</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3.干布草装载量不小于120公斤。</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4.风机变频驱动、具备热能回收、</w:t>
      </w:r>
      <w:r>
        <w:rPr>
          <w:rFonts w:hint="eastAsia" w:ascii="宋体" w:hAnsi="宋体" w:eastAsia="宋体" w:cs="宋体"/>
          <w:color w:val="000000"/>
          <w:kern w:val="0"/>
          <w:sz w:val="24"/>
          <w:szCs w:val="24"/>
        </w:rPr>
        <w:t>节能降耗、</w:t>
      </w:r>
      <w:r>
        <w:rPr>
          <w:rFonts w:hint="eastAsia" w:ascii="宋体" w:hAnsi="宋体" w:eastAsia="宋体" w:cs="宋体"/>
          <w:color w:val="000000"/>
          <w:sz w:val="24"/>
          <w:szCs w:val="24"/>
        </w:rPr>
        <w:t>过滤网为不锈钢304材质。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 贯穿式烘干机的金属构件表面，除了加工装配面和电镀表面以外，都应进行防锈或喷涂处理。在装配前，对封闭结构的内表面</w:t>
      </w:r>
      <w:r>
        <w:rPr>
          <w:rFonts w:hint="eastAsia" w:ascii="宋体" w:hAnsi="宋体" w:eastAsia="宋体" w:cs="宋体"/>
          <w:color w:val="000000" w:themeColor="text1"/>
          <w:sz w:val="24"/>
          <w:szCs w:val="24"/>
          <w:lang w:val="en-US" w:eastAsia="zh-CN"/>
          <w14:textFill>
            <w14:solidFill>
              <w14:schemeClr w14:val="tx1"/>
            </w14:solidFill>
          </w14:textFill>
        </w:rPr>
        <w:t>要进行</w:t>
      </w:r>
      <w:r>
        <w:rPr>
          <w:rFonts w:hint="eastAsia" w:ascii="宋体" w:hAnsi="宋体" w:eastAsia="宋体" w:cs="宋体"/>
          <w:color w:val="000000" w:themeColor="text1"/>
          <w:sz w:val="24"/>
          <w:szCs w:val="24"/>
          <w14:textFill>
            <w14:solidFill>
              <w14:schemeClr w14:val="tx1"/>
            </w14:solidFill>
          </w14:textFill>
        </w:rPr>
        <w:t>喷涂防锈处理。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 贯穿式烘干机</w:t>
      </w:r>
      <w:r>
        <w:rPr>
          <w:rFonts w:hint="eastAsia" w:ascii="宋体" w:hAnsi="宋体" w:eastAsia="宋体" w:cs="宋体"/>
          <w:color w:val="000000" w:themeColor="text1"/>
          <w:sz w:val="24"/>
          <w:szCs w:val="24"/>
          <w:lang w:val="en-US" w:eastAsia="zh-CN"/>
          <w14:textFill>
            <w14:solidFill>
              <w14:schemeClr w14:val="tx1"/>
            </w14:solidFill>
          </w14:textFill>
        </w:rPr>
        <w:t>须</w:t>
      </w:r>
      <w:r>
        <w:rPr>
          <w:rFonts w:hint="eastAsia" w:ascii="宋体" w:hAnsi="宋体" w:eastAsia="宋体" w:cs="宋体"/>
          <w:color w:val="000000" w:themeColor="text1"/>
          <w:sz w:val="24"/>
          <w:szCs w:val="24"/>
          <w14:textFill>
            <w14:solidFill>
              <w14:schemeClr w14:val="tx1"/>
            </w14:solidFill>
          </w14:textFill>
        </w:rPr>
        <w:t>考虑与本公司整个系统设备之间的接口问题，在设备安装后，整个系统之间接口不应存在任何问题，</w:t>
      </w:r>
      <w:r>
        <w:rPr>
          <w:rFonts w:hint="eastAsia" w:ascii="宋体" w:hAnsi="宋体" w:eastAsia="宋体" w:cs="宋体"/>
          <w:color w:val="000000" w:themeColor="text1"/>
          <w:sz w:val="24"/>
          <w:szCs w:val="24"/>
          <w:lang w:eastAsia="zh-CN"/>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有责任解决接口问题，并负责解决问题的一切费用。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7.在技术规范中所述的相同规格的设备必须是可互换的，且设备零、备件也必须是可互换的。</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8.所供设备都应经过检验，并且具有有效的合格证。</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机械结构设备的总体机械结构应充分考虑安装、维护的方便和扩充容量。应具有足够的机械强度和刚度，设备的安装和固定方式应具有防振和抗震能力。应保证设备经过常规的运输、存储和安装后不产生破损、变形。设备危险部位应有特殊标志。</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10.设备的表面涂敷应满足防腐的要求。所有喷漆（塑）零件的表面应光滑平整、色泽一致。</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 </w:t>
      </w:r>
      <w:r>
        <w:rPr>
          <w:rFonts w:hint="eastAsia" w:ascii="宋体" w:hAnsi="宋体" w:eastAsia="宋体" w:cs="宋体"/>
          <w:color w:val="000000" w:themeColor="text1"/>
          <w:sz w:val="24"/>
          <w:szCs w:val="24"/>
          <w:lang w:eastAsia="zh-CN"/>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均需提供端口与上位机信息化管理系统对接，便于采集生产数据和智能工厂管理。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12. </w:t>
      </w:r>
      <w:r>
        <w:rPr>
          <w:rFonts w:hint="eastAsia" w:ascii="宋体" w:hAnsi="宋体" w:eastAsia="宋体" w:cs="宋体"/>
          <w:color w:val="000000" w:themeColor="text1"/>
          <w:sz w:val="24"/>
          <w:szCs w:val="24"/>
          <w:lang w:eastAsia="zh-CN"/>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在合同生效之日起一周内与招标方共同确认方案，并到设备使用场地进行设备进场至准备工作的指导与建议。</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13.设备要求符合相关的国际国家标准或企业标准。</w:t>
      </w:r>
    </w:p>
    <w:p>
      <w:pPr>
        <w:numPr>
          <w:ilvl w:val="0"/>
          <w:numId w:val="12"/>
        </w:numPr>
        <w:spacing w:line="360" w:lineRule="auto"/>
        <w:rPr>
          <w:rFonts w:hint="eastAsia" w:ascii="宋体" w:hAnsi="宋体" w:eastAsia="宋体" w:cs="宋体"/>
          <w:b/>
          <w:sz w:val="24"/>
          <w:szCs w:val="24"/>
        </w:rPr>
      </w:pPr>
      <w:r>
        <w:rPr>
          <w:rFonts w:hint="eastAsia" w:ascii="宋体" w:hAnsi="宋体" w:eastAsia="宋体" w:cs="宋体"/>
          <w:b/>
          <w:sz w:val="24"/>
          <w:szCs w:val="24"/>
        </w:rPr>
        <w:t>项目商务要求</w:t>
      </w:r>
    </w:p>
    <w:p>
      <w:pPr>
        <w:pStyle w:val="12"/>
        <w:numPr>
          <w:ilvl w:val="0"/>
          <w:numId w:val="15"/>
        </w:numPr>
        <w:spacing w:line="360" w:lineRule="auto"/>
        <w:rPr>
          <w:rFonts w:hint="eastAsia" w:ascii="宋体" w:hAnsi="宋体" w:eastAsia="宋体" w:cs="宋体"/>
          <w:sz w:val="24"/>
          <w:szCs w:val="24"/>
        </w:rPr>
      </w:pPr>
      <w:r>
        <w:rPr>
          <w:rFonts w:hint="eastAsia" w:ascii="宋体" w:hAnsi="宋体" w:eastAsia="宋体" w:cs="宋体"/>
          <w:sz w:val="24"/>
          <w:szCs w:val="24"/>
        </w:rPr>
        <w:t>交付时间：遴选结果公布后30天内完成安装、调试并交付使用。</w:t>
      </w:r>
    </w:p>
    <w:p>
      <w:pPr>
        <w:pStyle w:val="12"/>
        <w:numPr>
          <w:ilvl w:val="0"/>
          <w:numId w:val="15"/>
        </w:numPr>
        <w:spacing w:line="360" w:lineRule="auto"/>
        <w:rPr>
          <w:rFonts w:hint="eastAsia" w:ascii="宋体" w:hAnsi="宋体" w:eastAsia="宋体" w:cs="宋体"/>
          <w:sz w:val="24"/>
          <w:szCs w:val="24"/>
        </w:rPr>
      </w:pPr>
      <w:r>
        <w:rPr>
          <w:rFonts w:hint="eastAsia" w:ascii="宋体" w:hAnsi="宋体" w:eastAsia="宋体" w:cs="宋体"/>
          <w:sz w:val="24"/>
          <w:szCs w:val="24"/>
        </w:rPr>
        <w:t>验收要求</w:t>
      </w:r>
    </w:p>
    <w:p>
      <w:pPr>
        <w:pStyle w:val="12"/>
        <w:numPr>
          <w:ilvl w:val="0"/>
          <w:numId w:val="16"/>
        </w:numPr>
        <w:spacing w:line="360" w:lineRule="auto"/>
        <w:ind w:firstLine="260" w:firstLineChars="100"/>
        <w:rPr>
          <w:rFonts w:hint="eastAsia" w:ascii="宋体" w:hAnsi="宋体" w:eastAsia="宋体" w:cs="宋体"/>
          <w:sz w:val="24"/>
          <w:szCs w:val="24"/>
        </w:rPr>
      </w:pPr>
      <w:r>
        <w:rPr>
          <w:rFonts w:hint="eastAsia" w:ascii="宋体" w:hAnsi="宋体" w:eastAsia="宋体" w:cs="宋体"/>
          <w:sz w:val="24"/>
          <w:szCs w:val="24"/>
        </w:rPr>
        <w:t>验收由双方及相关人员依照采购需求文件所列要求进行。</w:t>
      </w:r>
    </w:p>
    <w:p>
      <w:pPr>
        <w:pStyle w:val="12"/>
        <w:numPr>
          <w:ilvl w:val="0"/>
          <w:numId w:val="16"/>
        </w:numPr>
        <w:spacing w:line="360" w:lineRule="auto"/>
        <w:ind w:firstLine="260" w:firstLineChars="100"/>
        <w:rPr>
          <w:rFonts w:hint="eastAsia" w:ascii="宋体" w:hAnsi="宋体" w:eastAsia="宋体" w:cs="宋体"/>
          <w:sz w:val="24"/>
          <w:szCs w:val="24"/>
        </w:rPr>
      </w:pPr>
      <w:r>
        <w:rPr>
          <w:rFonts w:hint="eastAsia" w:ascii="宋体" w:hAnsi="宋体" w:eastAsia="宋体" w:cs="宋体"/>
          <w:sz w:val="24"/>
          <w:szCs w:val="24"/>
        </w:rPr>
        <w:t>拆箱后，</w:t>
      </w:r>
      <w:r>
        <w:rPr>
          <w:rFonts w:hint="eastAsia" w:ascii="宋体" w:hAnsi="宋体" w:eastAsia="宋体" w:cs="宋体"/>
          <w:sz w:val="24"/>
          <w:szCs w:val="24"/>
          <w:lang w:eastAsia="zh-CN"/>
        </w:rPr>
        <w:t>乙方</w:t>
      </w:r>
      <w:r>
        <w:rPr>
          <w:rFonts w:hint="eastAsia" w:ascii="宋体" w:hAnsi="宋体" w:eastAsia="宋体" w:cs="宋体"/>
          <w:sz w:val="24"/>
          <w:szCs w:val="24"/>
        </w:rPr>
        <w:t>应对其全部产品、零件、配件、用户许可证书、资料、介质造册登记，并与装箱单对比，如有出入应立即书面记录，由</w:t>
      </w:r>
      <w:r>
        <w:rPr>
          <w:rFonts w:hint="eastAsia" w:ascii="宋体" w:hAnsi="宋体" w:eastAsia="宋体" w:cs="宋体"/>
          <w:sz w:val="24"/>
          <w:szCs w:val="24"/>
          <w:lang w:eastAsia="zh-CN"/>
        </w:rPr>
        <w:t>乙方</w:t>
      </w:r>
      <w:r>
        <w:rPr>
          <w:rFonts w:hint="eastAsia" w:ascii="宋体" w:hAnsi="宋体" w:eastAsia="宋体" w:cs="宋体"/>
          <w:sz w:val="24"/>
          <w:szCs w:val="24"/>
        </w:rPr>
        <w:t>解决，如影响使用则实行退货处理。登记册作为验收文档之一。</w:t>
      </w:r>
    </w:p>
    <w:p>
      <w:pPr>
        <w:pStyle w:val="12"/>
        <w:numPr>
          <w:ilvl w:val="0"/>
          <w:numId w:val="16"/>
        </w:numPr>
        <w:spacing w:line="360" w:lineRule="auto"/>
        <w:ind w:firstLine="260" w:firstLineChars="100"/>
        <w:rPr>
          <w:rFonts w:hint="eastAsia" w:ascii="宋体" w:hAnsi="宋体" w:eastAsia="宋体" w:cs="宋体"/>
          <w:sz w:val="24"/>
          <w:szCs w:val="24"/>
        </w:rPr>
      </w:pPr>
      <w:r>
        <w:rPr>
          <w:rFonts w:hint="eastAsia" w:ascii="宋体" w:hAnsi="宋体" w:eastAsia="宋体" w:cs="宋体"/>
          <w:sz w:val="24"/>
          <w:szCs w:val="24"/>
          <w:lang w:val="en-US" w:eastAsia="zh-CN"/>
        </w:rPr>
        <w:t>甲方</w:t>
      </w:r>
      <w:r>
        <w:rPr>
          <w:rFonts w:hint="eastAsia" w:ascii="宋体" w:hAnsi="宋体" w:eastAsia="宋体" w:cs="宋体"/>
          <w:sz w:val="24"/>
          <w:szCs w:val="24"/>
        </w:rPr>
        <w:t>要求对全部货物、产品、型号、规格、数量、外型、外观、包装及资料、文件（如装箱单、保修单、随箱介质等）进行验收，如有破损及型号、规格等不符者，立即退货。</w:t>
      </w:r>
    </w:p>
    <w:p>
      <w:pPr>
        <w:pStyle w:val="12"/>
        <w:numPr>
          <w:ilvl w:val="0"/>
          <w:numId w:val="16"/>
        </w:numPr>
        <w:spacing w:line="360" w:lineRule="auto"/>
        <w:ind w:firstLine="260" w:firstLineChars="100"/>
        <w:rPr>
          <w:rFonts w:hint="eastAsia" w:ascii="宋体" w:hAnsi="宋体" w:eastAsia="宋体" w:cs="宋体"/>
          <w:sz w:val="24"/>
          <w:szCs w:val="24"/>
        </w:rPr>
      </w:pPr>
      <w:r>
        <w:rPr>
          <w:rFonts w:hint="eastAsia" w:ascii="宋体" w:hAnsi="宋体" w:eastAsia="宋体" w:cs="宋体"/>
          <w:sz w:val="24"/>
          <w:szCs w:val="24"/>
          <w:lang w:eastAsia="zh-CN"/>
        </w:rPr>
        <w:t>乙方</w:t>
      </w:r>
      <w:r>
        <w:rPr>
          <w:rFonts w:hint="eastAsia" w:ascii="宋体" w:hAnsi="宋体" w:eastAsia="宋体" w:cs="宋体"/>
          <w:sz w:val="24"/>
          <w:szCs w:val="24"/>
        </w:rPr>
        <w:t>应负责在项目验收时将设备的全部有关产品说明书、原厂家安装手册、技术文件、质量保证书、保修卡及安装、验收报告等文档汇集成册交付</w:t>
      </w:r>
      <w:r>
        <w:rPr>
          <w:rFonts w:hint="eastAsia" w:ascii="宋体" w:hAnsi="宋体" w:eastAsia="宋体" w:cs="宋体"/>
          <w:sz w:val="24"/>
          <w:szCs w:val="24"/>
          <w:lang w:val="en-US" w:eastAsia="zh-CN"/>
        </w:rPr>
        <w:t>甲方</w:t>
      </w:r>
      <w:r>
        <w:rPr>
          <w:rFonts w:hint="eastAsia" w:ascii="宋体" w:hAnsi="宋体" w:eastAsia="宋体" w:cs="宋体"/>
          <w:sz w:val="24"/>
          <w:szCs w:val="24"/>
        </w:rPr>
        <w:t>。</w:t>
      </w:r>
    </w:p>
    <w:p>
      <w:pPr>
        <w:pStyle w:val="12"/>
        <w:numPr>
          <w:ilvl w:val="0"/>
          <w:numId w:val="16"/>
        </w:numPr>
        <w:spacing w:line="360" w:lineRule="auto"/>
        <w:ind w:firstLine="260" w:firstLineChars="100"/>
        <w:rPr>
          <w:rFonts w:hint="eastAsia" w:ascii="宋体" w:hAnsi="宋体" w:eastAsia="宋体" w:cs="宋体"/>
          <w:sz w:val="24"/>
          <w:szCs w:val="24"/>
        </w:rPr>
      </w:pPr>
      <w:r>
        <w:rPr>
          <w:rFonts w:hint="eastAsia" w:ascii="宋体" w:hAnsi="宋体" w:eastAsia="宋体" w:cs="宋体"/>
          <w:sz w:val="24"/>
          <w:szCs w:val="24"/>
          <w:lang w:eastAsia="zh-CN"/>
        </w:rPr>
        <w:t>乙方</w:t>
      </w:r>
      <w:r>
        <w:rPr>
          <w:rFonts w:hint="eastAsia" w:ascii="宋体" w:hAnsi="宋体" w:eastAsia="宋体" w:cs="宋体"/>
          <w:sz w:val="24"/>
          <w:szCs w:val="24"/>
        </w:rPr>
        <w:t>应提供包括但不限于满足所购设备安装、使用、专用安装维修工具、日常维修工具。</w:t>
      </w:r>
    </w:p>
    <w:p>
      <w:pPr>
        <w:pStyle w:val="12"/>
        <w:numPr>
          <w:ilvl w:val="0"/>
          <w:numId w:val="16"/>
        </w:numPr>
        <w:spacing w:line="360" w:lineRule="auto"/>
        <w:ind w:firstLine="260" w:firstLineChars="100"/>
        <w:rPr>
          <w:rFonts w:hint="eastAsia" w:ascii="宋体" w:hAnsi="宋体" w:eastAsia="宋体" w:cs="宋体"/>
          <w:sz w:val="24"/>
          <w:szCs w:val="24"/>
        </w:rPr>
      </w:pPr>
      <w:r>
        <w:rPr>
          <w:rFonts w:hint="eastAsia" w:ascii="宋体" w:hAnsi="宋体" w:eastAsia="宋体" w:cs="宋体"/>
          <w:sz w:val="24"/>
          <w:szCs w:val="24"/>
        </w:rPr>
        <w:t>到货后由</w:t>
      </w:r>
      <w:r>
        <w:rPr>
          <w:rFonts w:hint="eastAsia" w:ascii="宋体" w:hAnsi="宋体" w:eastAsia="宋体" w:cs="宋体"/>
          <w:sz w:val="24"/>
          <w:szCs w:val="24"/>
          <w:lang w:eastAsia="zh-CN"/>
        </w:rPr>
        <w:t>乙方</w:t>
      </w:r>
      <w:r>
        <w:rPr>
          <w:rFonts w:hint="eastAsia" w:ascii="宋体" w:hAnsi="宋体" w:eastAsia="宋体" w:cs="宋体"/>
          <w:sz w:val="24"/>
          <w:szCs w:val="24"/>
        </w:rPr>
        <w:t>免费负责安装、调试及对</w:t>
      </w:r>
      <w:r>
        <w:rPr>
          <w:rFonts w:hint="eastAsia" w:ascii="宋体" w:hAnsi="宋体" w:eastAsia="宋体" w:cs="宋体"/>
          <w:sz w:val="24"/>
          <w:szCs w:val="24"/>
          <w:lang w:val="en-US" w:eastAsia="zh-CN"/>
        </w:rPr>
        <w:t>甲方</w:t>
      </w:r>
      <w:r>
        <w:rPr>
          <w:rFonts w:hint="eastAsia" w:ascii="宋体" w:hAnsi="宋体" w:eastAsia="宋体" w:cs="宋体"/>
          <w:sz w:val="24"/>
          <w:szCs w:val="24"/>
        </w:rPr>
        <w:t>的使用人进行现场培训，包括设备操作使用手册及使用安全等相关内容，使用人熟练掌握操作后方可进行验收。</w:t>
      </w:r>
    </w:p>
    <w:p>
      <w:pPr>
        <w:pStyle w:val="12"/>
        <w:numPr>
          <w:ilvl w:val="0"/>
          <w:numId w:val="16"/>
        </w:numPr>
        <w:spacing w:line="360" w:lineRule="auto"/>
        <w:ind w:firstLine="260" w:firstLineChars="100"/>
        <w:rPr>
          <w:rFonts w:hint="eastAsia" w:ascii="宋体" w:hAnsi="宋体" w:eastAsia="宋体" w:cs="宋体"/>
          <w:sz w:val="24"/>
          <w:szCs w:val="24"/>
        </w:rPr>
      </w:pPr>
      <w:r>
        <w:rPr>
          <w:rFonts w:hint="eastAsia" w:ascii="宋体" w:hAnsi="宋体" w:eastAsia="宋体" w:cs="宋体"/>
          <w:sz w:val="24"/>
          <w:szCs w:val="24"/>
        </w:rPr>
        <w:t>验收完毕由双方在验收报告上签名。</w:t>
      </w:r>
    </w:p>
    <w:p>
      <w:pPr>
        <w:pStyle w:val="12"/>
        <w:numPr>
          <w:ilvl w:val="0"/>
          <w:numId w:val="15"/>
        </w:numPr>
        <w:spacing w:line="360" w:lineRule="auto"/>
        <w:rPr>
          <w:rFonts w:hint="eastAsia" w:ascii="宋体" w:hAnsi="宋体" w:eastAsia="宋体" w:cs="宋体"/>
          <w:sz w:val="24"/>
          <w:szCs w:val="24"/>
        </w:rPr>
      </w:pPr>
      <w:r>
        <w:rPr>
          <w:rFonts w:hint="eastAsia" w:ascii="宋体" w:hAnsi="宋体" w:eastAsia="宋体" w:cs="宋体"/>
          <w:sz w:val="24"/>
          <w:szCs w:val="24"/>
        </w:rPr>
        <w:t>质量保证期及售后服务要求</w:t>
      </w:r>
    </w:p>
    <w:p>
      <w:pPr>
        <w:pStyle w:val="12"/>
        <w:numPr>
          <w:ilvl w:val="0"/>
          <w:numId w:val="5"/>
        </w:numPr>
        <w:spacing w:line="360" w:lineRule="auto"/>
        <w:ind w:firstLine="260" w:firstLineChars="100"/>
        <w:rPr>
          <w:rFonts w:hint="eastAsia" w:ascii="宋体" w:hAnsi="宋体" w:eastAsia="宋体" w:cs="宋体"/>
          <w:sz w:val="24"/>
          <w:szCs w:val="24"/>
        </w:rPr>
      </w:pPr>
      <w:r>
        <w:rPr>
          <w:rFonts w:hint="eastAsia" w:ascii="宋体" w:hAnsi="宋体" w:eastAsia="宋体" w:cs="宋体"/>
          <w:sz w:val="24"/>
          <w:szCs w:val="24"/>
        </w:rPr>
        <w:t>质量保证期: ①项目验收合格后整机保修期不少于一年。（若国家和/或生产厂家对本项目所涉及货物的质量保证期的规定高于本项目的要求，应按国家和/或生产厂家的规定执行；）②在质量保证期内发生的质量问题，由</w:t>
      </w:r>
      <w:r>
        <w:rPr>
          <w:rFonts w:hint="eastAsia" w:ascii="宋体" w:hAnsi="宋体" w:eastAsia="宋体" w:cs="宋体"/>
          <w:sz w:val="24"/>
          <w:szCs w:val="24"/>
          <w:lang w:eastAsia="zh-CN"/>
        </w:rPr>
        <w:t>乙方</w:t>
      </w:r>
      <w:r>
        <w:rPr>
          <w:rFonts w:hint="eastAsia" w:ascii="宋体" w:hAnsi="宋体" w:eastAsia="宋体" w:cs="宋体"/>
          <w:sz w:val="24"/>
          <w:szCs w:val="24"/>
        </w:rPr>
        <w:t>负责免费解决；在质量保证期外发生的质量问题，由</w:t>
      </w:r>
      <w:r>
        <w:rPr>
          <w:rFonts w:hint="eastAsia" w:ascii="宋体" w:hAnsi="宋体" w:eastAsia="宋体" w:cs="宋体"/>
          <w:sz w:val="24"/>
          <w:szCs w:val="24"/>
          <w:lang w:eastAsia="zh-CN"/>
        </w:rPr>
        <w:t>乙方</w:t>
      </w:r>
      <w:r>
        <w:rPr>
          <w:rFonts w:hint="eastAsia" w:ascii="宋体" w:hAnsi="宋体" w:eastAsia="宋体" w:cs="宋体"/>
          <w:sz w:val="24"/>
          <w:szCs w:val="24"/>
        </w:rPr>
        <w:t>负责解决，</w:t>
      </w:r>
      <w:r>
        <w:rPr>
          <w:rFonts w:hint="eastAsia" w:ascii="宋体" w:hAnsi="宋体" w:eastAsia="宋体" w:cs="宋体"/>
          <w:sz w:val="24"/>
          <w:szCs w:val="24"/>
          <w:lang w:val="en-US" w:eastAsia="zh-CN"/>
        </w:rPr>
        <w:t>甲方</w:t>
      </w:r>
      <w:r>
        <w:rPr>
          <w:rFonts w:hint="eastAsia" w:ascii="宋体" w:hAnsi="宋体" w:eastAsia="宋体" w:cs="宋体"/>
          <w:sz w:val="24"/>
          <w:szCs w:val="24"/>
        </w:rPr>
        <w:t>支付相应的费用（货物故障维护和更换零配件价格按市场的较低者进行核算）。</w:t>
      </w:r>
    </w:p>
    <w:p>
      <w:pPr>
        <w:pStyle w:val="12"/>
        <w:numPr>
          <w:ilvl w:val="0"/>
          <w:numId w:val="5"/>
        </w:numPr>
        <w:spacing w:line="360" w:lineRule="auto"/>
        <w:ind w:firstLine="260" w:firstLineChars="100"/>
        <w:rPr>
          <w:rFonts w:hint="eastAsia" w:ascii="宋体" w:hAnsi="宋体" w:eastAsia="宋体" w:cs="宋体"/>
          <w:sz w:val="24"/>
          <w:szCs w:val="24"/>
        </w:rPr>
      </w:pPr>
      <w:r>
        <w:rPr>
          <w:rFonts w:hint="eastAsia" w:ascii="宋体" w:hAnsi="宋体" w:eastAsia="宋体" w:cs="宋体"/>
          <w:sz w:val="24"/>
          <w:szCs w:val="24"/>
        </w:rPr>
        <w:t>售后服务要求: ①在质保期内，</w:t>
      </w:r>
      <w:r>
        <w:rPr>
          <w:rFonts w:hint="eastAsia" w:ascii="宋体" w:hAnsi="宋体" w:eastAsia="宋体" w:cs="宋体"/>
          <w:sz w:val="24"/>
          <w:szCs w:val="24"/>
          <w:lang w:eastAsia="zh-CN"/>
        </w:rPr>
        <w:t>乙方</w:t>
      </w:r>
      <w:r>
        <w:rPr>
          <w:rFonts w:hint="eastAsia" w:ascii="宋体" w:hAnsi="宋体" w:eastAsia="宋体" w:cs="宋体"/>
          <w:sz w:val="24"/>
          <w:szCs w:val="24"/>
        </w:rPr>
        <w:t>须提供常设售后服务（7×24小时）电话热线、远程及现场支持服务和长期的免费维修支持。②对</w:t>
      </w:r>
      <w:r>
        <w:rPr>
          <w:rFonts w:hint="eastAsia" w:ascii="宋体" w:hAnsi="宋体" w:eastAsia="宋体" w:cs="宋体"/>
          <w:sz w:val="24"/>
          <w:szCs w:val="24"/>
          <w:lang w:val="en-US" w:eastAsia="zh-CN"/>
        </w:rPr>
        <w:t>甲方</w:t>
      </w:r>
      <w:r>
        <w:rPr>
          <w:rFonts w:hint="eastAsia" w:ascii="宋体" w:hAnsi="宋体" w:eastAsia="宋体" w:cs="宋体"/>
          <w:sz w:val="24"/>
          <w:szCs w:val="24"/>
        </w:rPr>
        <w:t>的服务通知，</w:t>
      </w:r>
      <w:r>
        <w:rPr>
          <w:rFonts w:hint="eastAsia" w:ascii="宋体" w:hAnsi="宋体" w:eastAsia="宋体" w:cs="宋体"/>
          <w:sz w:val="24"/>
          <w:szCs w:val="24"/>
          <w:lang w:eastAsia="zh-CN"/>
        </w:rPr>
        <w:t>乙方</w:t>
      </w:r>
      <w:r>
        <w:rPr>
          <w:rFonts w:hint="eastAsia" w:ascii="宋体" w:hAnsi="宋体" w:eastAsia="宋体" w:cs="宋体"/>
          <w:sz w:val="24"/>
          <w:szCs w:val="24"/>
        </w:rPr>
        <w:t>在接报后30分钟响应，不能远程解决的，应在接到通知后2小时内到达现场，24小时内处理完毕，如遇特殊情况不能及时处理，需提供同型号备用器械，保障</w:t>
      </w:r>
      <w:r>
        <w:rPr>
          <w:rFonts w:hint="eastAsia" w:ascii="宋体" w:hAnsi="宋体" w:eastAsia="宋体" w:cs="宋体"/>
          <w:sz w:val="24"/>
          <w:szCs w:val="24"/>
          <w:lang w:val="en-US" w:eastAsia="zh-CN"/>
        </w:rPr>
        <w:t>甲方</w:t>
      </w:r>
      <w:r>
        <w:rPr>
          <w:rFonts w:hint="eastAsia" w:ascii="宋体" w:hAnsi="宋体" w:eastAsia="宋体" w:cs="宋体"/>
          <w:sz w:val="24"/>
          <w:szCs w:val="24"/>
        </w:rPr>
        <w:t>正常使用。</w:t>
      </w:r>
    </w:p>
    <w:p>
      <w:pPr>
        <w:pStyle w:val="12"/>
        <w:numPr>
          <w:ilvl w:val="0"/>
          <w:numId w:val="15"/>
        </w:numPr>
        <w:spacing w:line="360" w:lineRule="auto"/>
        <w:rPr>
          <w:rFonts w:hint="eastAsia" w:ascii="宋体" w:hAnsi="宋体" w:eastAsia="宋体" w:cs="宋体"/>
          <w:sz w:val="24"/>
          <w:szCs w:val="24"/>
        </w:rPr>
      </w:pPr>
      <w:r>
        <w:rPr>
          <w:rFonts w:hint="eastAsia" w:ascii="宋体" w:hAnsi="宋体" w:eastAsia="宋体" w:cs="宋体"/>
          <w:sz w:val="24"/>
          <w:szCs w:val="24"/>
        </w:rPr>
        <w:t>培训要求</w:t>
      </w:r>
    </w:p>
    <w:p>
      <w:pPr>
        <w:pStyle w:val="12"/>
        <w:numPr>
          <w:ilvl w:val="0"/>
          <w:numId w:val="6"/>
        </w:numPr>
        <w:spacing w:line="360" w:lineRule="auto"/>
        <w:ind w:firstLine="260" w:firstLineChars="100"/>
        <w:rPr>
          <w:rFonts w:hint="eastAsia" w:ascii="宋体" w:hAnsi="宋体" w:eastAsia="宋体" w:cs="宋体"/>
          <w:sz w:val="24"/>
          <w:szCs w:val="24"/>
        </w:rPr>
      </w:pPr>
      <w:r>
        <w:rPr>
          <w:rFonts w:hint="eastAsia" w:ascii="宋体" w:hAnsi="宋体" w:eastAsia="宋体" w:cs="宋体"/>
          <w:sz w:val="24"/>
          <w:szCs w:val="24"/>
        </w:rPr>
        <w:t>培训地点：</w:t>
      </w:r>
      <w:r>
        <w:rPr>
          <w:rFonts w:hint="eastAsia" w:ascii="宋体" w:hAnsi="宋体" w:eastAsia="宋体" w:cs="宋体"/>
          <w:sz w:val="24"/>
          <w:szCs w:val="24"/>
          <w:lang w:val="en-US" w:eastAsia="zh-CN"/>
        </w:rPr>
        <w:t>甲方</w:t>
      </w:r>
      <w:r>
        <w:rPr>
          <w:rFonts w:hint="eastAsia" w:ascii="宋体" w:hAnsi="宋体" w:eastAsia="宋体" w:cs="宋体"/>
          <w:sz w:val="24"/>
          <w:szCs w:val="24"/>
        </w:rPr>
        <w:t xml:space="preserve">指定地点； </w:t>
      </w:r>
    </w:p>
    <w:p>
      <w:pPr>
        <w:pStyle w:val="12"/>
        <w:numPr>
          <w:ilvl w:val="0"/>
          <w:numId w:val="6"/>
        </w:numPr>
        <w:spacing w:line="360" w:lineRule="auto"/>
        <w:ind w:firstLine="260" w:firstLineChars="100"/>
        <w:rPr>
          <w:rFonts w:hint="eastAsia" w:ascii="宋体" w:hAnsi="宋体" w:eastAsia="宋体" w:cs="宋体"/>
          <w:sz w:val="24"/>
          <w:szCs w:val="24"/>
        </w:rPr>
      </w:pPr>
      <w:r>
        <w:rPr>
          <w:rFonts w:hint="eastAsia" w:ascii="宋体" w:hAnsi="宋体" w:eastAsia="宋体" w:cs="宋体"/>
          <w:sz w:val="24"/>
          <w:szCs w:val="24"/>
        </w:rPr>
        <w:t>培训内容要求：</w:t>
      </w:r>
      <w:r>
        <w:rPr>
          <w:rFonts w:hint="eastAsia" w:ascii="宋体" w:hAnsi="宋体" w:eastAsia="宋体" w:cs="宋体"/>
          <w:sz w:val="24"/>
          <w:szCs w:val="24"/>
          <w:lang w:eastAsia="zh-CN"/>
        </w:rPr>
        <w:t>乙方</w:t>
      </w:r>
      <w:r>
        <w:rPr>
          <w:rFonts w:hint="eastAsia" w:ascii="宋体" w:hAnsi="宋体" w:eastAsia="宋体" w:cs="宋体"/>
          <w:sz w:val="24"/>
          <w:szCs w:val="24"/>
        </w:rPr>
        <w:t xml:space="preserve">必须明确提供系统及设备用户操作等方面的培训； </w:t>
      </w:r>
    </w:p>
    <w:p>
      <w:pPr>
        <w:pStyle w:val="12"/>
        <w:numPr>
          <w:ilvl w:val="0"/>
          <w:numId w:val="6"/>
        </w:numPr>
        <w:spacing w:line="360" w:lineRule="auto"/>
        <w:ind w:firstLine="260" w:firstLineChars="100"/>
        <w:rPr>
          <w:rFonts w:hint="eastAsia" w:ascii="宋体" w:hAnsi="宋体" w:eastAsia="宋体" w:cs="宋体"/>
          <w:sz w:val="24"/>
          <w:szCs w:val="24"/>
        </w:rPr>
      </w:pPr>
      <w:r>
        <w:rPr>
          <w:rFonts w:hint="eastAsia" w:ascii="宋体" w:hAnsi="宋体" w:eastAsia="宋体" w:cs="宋体"/>
          <w:sz w:val="24"/>
          <w:szCs w:val="24"/>
        </w:rPr>
        <w:t>培训费用：</w:t>
      </w:r>
      <w:r>
        <w:rPr>
          <w:rFonts w:hint="eastAsia" w:ascii="宋体" w:hAnsi="宋体" w:eastAsia="宋体" w:cs="宋体"/>
          <w:sz w:val="24"/>
          <w:szCs w:val="24"/>
          <w:lang w:eastAsia="zh-CN"/>
        </w:rPr>
        <w:t>乙方</w:t>
      </w:r>
      <w:r>
        <w:rPr>
          <w:rFonts w:hint="eastAsia" w:ascii="宋体" w:hAnsi="宋体" w:eastAsia="宋体" w:cs="宋体"/>
          <w:sz w:val="24"/>
          <w:szCs w:val="24"/>
        </w:rPr>
        <w:t>应将所有培训费用（含培训教材费）及各项支出列入培训费用中，所有的费用必须计入投标总价。</w:t>
      </w:r>
    </w:p>
    <w:p>
      <w:pPr>
        <w:numPr>
          <w:ilvl w:val="0"/>
          <w:numId w:val="12"/>
        </w:numPr>
        <w:spacing w:line="360" w:lineRule="auto"/>
        <w:rPr>
          <w:rFonts w:hint="eastAsia" w:ascii="宋体" w:hAnsi="宋体" w:eastAsia="宋体" w:cs="宋体"/>
          <w:sz w:val="24"/>
          <w:szCs w:val="24"/>
        </w:rPr>
      </w:pPr>
      <w:r>
        <w:rPr>
          <w:rFonts w:hint="eastAsia" w:ascii="宋体" w:hAnsi="宋体" w:eastAsia="宋体" w:cs="宋体"/>
          <w:b/>
          <w:sz w:val="24"/>
          <w:szCs w:val="24"/>
        </w:rPr>
        <w:t>知识产权</w:t>
      </w:r>
    </w:p>
    <w:p>
      <w:pPr>
        <w:spacing w:line="360" w:lineRule="auto"/>
        <w:ind w:firstLine="420"/>
        <w:jc w:val="left"/>
        <w:rPr>
          <w:rFonts w:hint="eastAsia" w:ascii="宋体" w:hAnsi="宋体" w:eastAsia="宋体" w:cs="宋体"/>
          <w:sz w:val="24"/>
          <w:szCs w:val="24"/>
        </w:rPr>
      </w:pPr>
      <w:r>
        <w:rPr>
          <w:rFonts w:hint="eastAsia" w:ascii="宋体" w:hAnsi="宋体" w:eastAsia="宋体" w:cs="宋体"/>
          <w:sz w:val="24"/>
          <w:szCs w:val="24"/>
        </w:rPr>
        <w:t>乙方保证合同项下提供的货物不侵犯任何第三方的专利权、商标权或其它知识产权。否则，乙方须承担对第三方的专利权、商标权或其它知识产权的侵权责任并承担因此而发生的所有费用及给甲方造成的损失。</w:t>
      </w:r>
    </w:p>
    <w:p>
      <w:pPr>
        <w:numPr>
          <w:ilvl w:val="0"/>
          <w:numId w:val="12"/>
        </w:numPr>
        <w:spacing w:line="360" w:lineRule="auto"/>
        <w:rPr>
          <w:rFonts w:hint="eastAsia" w:ascii="宋体" w:hAnsi="宋体" w:eastAsia="宋体" w:cs="宋体"/>
          <w:sz w:val="24"/>
          <w:szCs w:val="24"/>
        </w:rPr>
      </w:pPr>
      <w:r>
        <w:rPr>
          <w:rFonts w:hint="eastAsia" w:ascii="宋体" w:hAnsi="宋体" w:eastAsia="宋体" w:cs="宋体"/>
          <w:b/>
          <w:sz w:val="24"/>
          <w:szCs w:val="24"/>
        </w:rPr>
        <w:t>违约责任与赔偿损失</w:t>
      </w:r>
    </w:p>
    <w:p>
      <w:pPr>
        <w:spacing w:line="360" w:lineRule="auto"/>
        <w:ind w:firstLine="412"/>
        <w:rPr>
          <w:rFonts w:hint="eastAsia" w:ascii="宋体" w:hAnsi="宋体" w:eastAsia="宋体" w:cs="宋体"/>
          <w:sz w:val="24"/>
          <w:szCs w:val="24"/>
        </w:rPr>
      </w:pPr>
      <w:r>
        <w:rPr>
          <w:rFonts w:hint="eastAsia" w:ascii="宋体" w:hAnsi="宋体" w:eastAsia="宋体" w:cs="宋体"/>
          <w:sz w:val="24"/>
          <w:szCs w:val="24"/>
        </w:rPr>
        <w:t>1.乙方交付的货物、提供的服务不符合合同规定的，甲方有权拒收，乙方因此不能按时交货，甲方有权</w:t>
      </w:r>
      <w:r>
        <w:rPr>
          <w:rFonts w:hint="eastAsia" w:ascii="宋体" w:hAnsi="宋体" w:cs="宋体"/>
          <w:sz w:val="24"/>
          <w:szCs w:val="24"/>
          <w:lang w:val="en-US" w:eastAsia="zh-CN"/>
        </w:rPr>
        <w:t>单方解除合同，</w:t>
      </w:r>
      <w:r>
        <w:rPr>
          <w:rFonts w:hint="eastAsia" w:ascii="宋体" w:hAnsi="宋体" w:eastAsia="宋体" w:cs="宋体"/>
          <w:sz w:val="24"/>
          <w:szCs w:val="24"/>
        </w:rPr>
        <w:t>自行采购合格的替代品，并且乙方须向甲方支付合同总价5%的违约金。</w:t>
      </w:r>
    </w:p>
    <w:p>
      <w:pPr>
        <w:spacing w:line="360" w:lineRule="auto"/>
        <w:ind w:firstLine="412"/>
        <w:rPr>
          <w:rFonts w:hint="eastAsia" w:ascii="宋体" w:hAnsi="宋体" w:eastAsia="宋体" w:cs="宋体"/>
          <w:sz w:val="24"/>
          <w:szCs w:val="24"/>
        </w:rPr>
      </w:pPr>
      <w:r>
        <w:rPr>
          <w:rFonts w:hint="eastAsia" w:ascii="宋体" w:hAnsi="宋体" w:eastAsia="宋体" w:cs="宋体"/>
          <w:sz w:val="24"/>
          <w:szCs w:val="24"/>
        </w:rPr>
        <w:t>2.乙方未能按合同规定的交货时间交付货物的，从逾期之日起每日按本合同总金额1%向甲方支付违约金；逾期5天以上的，甲方有权单方面解除合同，并不予退还乙方履约保证金，由此造成的甲方经济损失由乙方承担。</w:t>
      </w:r>
    </w:p>
    <w:p>
      <w:pPr>
        <w:spacing w:line="360" w:lineRule="auto"/>
        <w:ind w:firstLine="412"/>
        <w:rPr>
          <w:rFonts w:hint="eastAsia" w:ascii="宋体" w:hAnsi="宋体" w:eastAsia="宋体" w:cs="宋体"/>
          <w:sz w:val="24"/>
          <w:szCs w:val="24"/>
        </w:rPr>
      </w:pPr>
      <w:r>
        <w:rPr>
          <w:rFonts w:hint="eastAsia" w:ascii="宋体" w:hAnsi="宋体" w:eastAsia="宋体" w:cs="宋体"/>
          <w:sz w:val="24"/>
          <w:szCs w:val="24"/>
        </w:rPr>
        <w:t>3.甲方无正当理由拒收货物，不按政府采购支付流程办理付款申请手续的，甲方向乙方偿付本合同总价5%的违约金。甲方逾期未按政府采购支付流程办理付款申请手续的，则每日按本合同总价的3‰向乙方偿付违约金。实际支付款项期限均不包含财政审批的时间。</w:t>
      </w:r>
    </w:p>
    <w:p>
      <w:pPr>
        <w:spacing w:line="360" w:lineRule="auto"/>
        <w:ind w:firstLine="412"/>
        <w:rPr>
          <w:rFonts w:hint="eastAsia" w:ascii="宋体" w:hAnsi="宋体" w:eastAsia="宋体" w:cs="宋体"/>
          <w:sz w:val="24"/>
          <w:szCs w:val="24"/>
        </w:rPr>
      </w:pPr>
      <w:r>
        <w:rPr>
          <w:rFonts w:hint="eastAsia" w:ascii="宋体" w:hAnsi="宋体" w:eastAsia="宋体" w:cs="宋体"/>
          <w:sz w:val="24"/>
          <w:szCs w:val="24"/>
        </w:rPr>
        <w:t>4.乙方如没有按合同规定履行售后服务承诺，甲方可由第三方单位进行修复，其费用全部由乙方支付，否则，将没收乙方的履约保证金，如果没有履约保证金的则追究乙方违约的法律责任。</w:t>
      </w:r>
    </w:p>
    <w:p>
      <w:pPr>
        <w:spacing w:line="360" w:lineRule="auto"/>
        <w:ind w:firstLine="412"/>
        <w:rPr>
          <w:rFonts w:hint="eastAsia" w:ascii="宋体" w:hAnsi="宋体" w:eastAsia="宋体" w:cs="宋体"/>
          <w:sz w:val="24"/>
          <w:szCs w:val="24"/>
        </w:rPr>
      </w:pPr>
      <w:r>
        <w:rPr>
          <w:rFonts w:hint="eastAsia" w:ascii="宋体" w:hAnsi="宋体" w:eastAsia="宋体" w:cs="宋体"/>
          <w:sz w:val="24"/>
          <w:szCs w:val="24"/>
        </w:rPr>
        <w:t>5.其它违约责任按《中华人民共和国民法典》处理。</w:t>
      </w:r>
    </w:p>
    <w:p>
      <w:pPr>
        <w:numPr>
          <w:ilvl w:val="0"/>
          <w:numId w:val="12"/>
        </w:numPr>
        <w:spacing w:line="360" w:lineRule="auto"/>
        <w:rPr>
          <w:rFonts w:hint="eastAsia" w:ascii="宋体" w:hAnsi="宋体" w:eastAsia="宋体" w:cs="宋体"/>
          <w:sz w:val="24"/>
          <w:szCs w:val="24"/>
        </w:rPr>
      </w:pPr>
      <w:r>
        <w:rPr>
          <w:rFonts w:hint="eastAsia" w:ascii="宋体" w:hAnsi="宋体" w:eastAsia="宋体" w:cs="宋体"/>
          <w:b/>
          <w:sz w:val="24"/>
          <w:szCs w:val="24"/>
        </w:rPr>
        <w:t>争议的解决</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合同执行过程中发生的任何争议，双方应通过友好协商解决，若经协商不能达成协议时，则向甲方所在地人民法院提起诉讼。诉讼期间，双方应继续执行合同其余部分。</w:t>
      </w:r>
    </w:p>
    <w:p>
      <w:pPr>
        <w:numPr>
          <w:ilvl w:val="0"/>
          <w:numId w:val="12"/>
        </w:numPr>
        <w:spacing w:line="360" w:lineRule="auto"/>
        <w:rPr>
          <w:rFonts w:hint="eastAsia" w:ascii="宋体" w:hAnsi="宋体" w:eastAsia="宋体" w:cs="宋体"/>
          <w:sz w:val="24"/>
          <w:szCs w:val="24"/>
        </w:rPr>
      </w:pPr>
      <w:r>
        <w:rPr>
          <w:rFonts w:hint="eastAsia" w:ascii="宋体" w:hAnsi="宋体" w:eastAsia="宋体" w:cs="宋体"/>
          <w:b/>
          <w:sz w:val="24"/>
          <w:szCs w:val="24"/>
        </w:rPr>
        <w:t>不可抗力</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2"/>
        </w:numPr>
        <w:spacing w:line="360" w:lineRule="auto"/>
        <w:rPr>
          <w:rFonts w:hint="eastAsia" w:ascii="宋体" w:hAnsi="宋体" w:eastAsia="宋体" w:cs="宋体"/>
          <w:sz w:val="24"/>
          <w:szCs w:val="24"/>
        </w:rPr>
      </w:pPr>
      <w:r>
        <w:rPr>
          <w:rFonts w:hint="eastAsia" w:ascii="宋体" w:hAnsi="宋体" w:eastAsia="宋体" w:cs="宋体"/>
          <w:b/>
          <w:sz w:val="24"/>
          <w:szCs w:val="24"/>
        </w:rPr>
        <w:t>税费</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在中国境内、外发生的与本合同执行有关的一切税费均由乙方负担。</w:t>
      </w:r>
    </w:p>
    <w:p>
      <w:pPr>
        <w:numPr>
          <w:ilvl w:val="0"/>
          <w:numId w:val="12"/>
        </w:numPr>
        <w:spacing w:line="360" w:lineRule="auto"/>
        <w:rPr>
          <w:rFonts w:hint="eastAsia" w:ascii="宋体" w:hAnsi="宋体" w:eastAsia="宋体" w:cs="宋体"/>
          <w:sz w:val="24"/>
          <w:szCs w:val="24"/>
        </w:rPr>
      </w:pPr>
      <w:r>
        <w:rPr>
          <w:rFonts w:hint="eastAsia" w:ascii="宋体" w:hAnsi="宋体" w:eastAsia="宋体" w:cs="宋体"/>
          <w:b/>
          <w:sz w:val="24"/>
          <w:szCs w:val="24"/>
        </w:rPr>
        <w:t>其它重要说明或要求</w:t>
      </w:r>
    </w:p>
    <w:p>
      <w:pPr>
        <w:spacing w:line="360" w:lineRule="auto"/>
        <w:ind w:firstLine="412"/>
        <w:rPr>
          <w:rFonts w:hint="eastAsia" w:ascii="宋体" w:hAnsi="宋体" w:eastAsia="宋体" w:cs="宋体"/>
          <w:sz w:val="24"/>
          <w:szCs w:val="24"/>
        </w:rPr>
      </w:pPr>
      <w:r>
        <w:rPr>
          <w:rFonts w:hint="eastAsia" w:ascii="宋体" w:hAnsi="宋体" w:eastAsia="宋体" w:cs="宋体"/>
          <w:sz w:val="24"/>
          <w:szCs w:val="24"/>
        </w:rPr>
        <w:t>1.本合同所有附件、采购文件、响应文件、中选通知书均为合同的有效组成部分，与本合同具有同等法律效力。</w:t>
      </w:r>
    </w:p>
    <w:p>
      <w:pPr>
        <w:spacing w:line="360" w:lineRule="auto"/>
        <w:ind w:firstLine="412"/>
        <w:rPr>
          <w:rFonts w:hint="eastAsia" w:ascii="宋体" w:hAnsi="宋体" w:eastAsia="宋体" w:cs="宋体"/>
          <w:sz w:val="24"/>
          <w:szCs w:val="24"/>
        </w:rPr>
      </w:pPr>
      <w:r>
        <w:rPr>
          <w:rFonts w:hint="eastAsia" w:ascii="宋体" w:hAnsi="宋体" w:eastAsia="宋体" w:cs="宋体"/>
          <w:sz w:val="24"/>
          <w:szCs w:val="24"/>
        </w:rPr>
        <w:t>2.在执行合同的过程中，所有经双方签署确认的文件（包括会议纪要、补充协议、往来信函）即成为合同的有效组成部分。</w:t>
      </w:r>
    </w:p>
    <w:p>
      <w:pPr>
        <w:spacing w:line="360" w:lineRule="auto"/>
        <w:ind w:firstLine="412"/>
        <w:rPr>
          <w:rFonts w:hint="eastAsia" w:ascii="宋体" w:hAnsi="宋体" w:eastAsia="宋体" w:cs="宋体"/>
          <w:sz w:val="24"/>
          <w:szCs w:val="24"/>
        </w:rPr>
      </w:pPr>
      <w:r>
        <w:rPr>
          <w:rFonts w:hint="eastAsia" w:ascii="宋体" w:hAnsi="宋体" w:eastAsia="宋体" w:cs="宋体"/>
          <w:sz w:val="24"/>
          <w:szCs w:val="24"/>
        </w:rPr>
        <w:t>3.如一方地址、电话、传真号码有变更，应在变更当日内书面通知对方，否则，应承担相应责任。</w:t>
      </w:r>
    </w:p>
    <w:p>
      <w:pPr>
        <w:spacing w:line="360" w:lineRule="auto"/>
        <w:ind w:firstLine="412"/>
        <w:rPr>
          <w:rFonts w:hint="eastAsia" w:ascii="宋体" w:hAnsi="宋体" w:eastAsia="宋体" w:cs="宋体"/>
          <w:sz w:val="24"/>
          <w:szCs w:val="24"/>
        </w:rPr>
      </w:pPr>
      <w:r>
        <w:rPr>
          <w:rFonts w:hint="eastAsia" w:ascii="宋体" w:hAnsi="宋体" w:eastAsia="宋体" w:cs="宋体"/>
          <w:sz w:val="24"/>
          <w:szCs w:val="24"/>
        </w:rPr>
        <w:t>4.除甲方事先书面同意外，乙方不得部分或全部转让其应履行的合同项下的义务。</w:t>
      </w:r>
    </w:p>
    <w:p>
      <w:pPr>
        <w:spacing w:line="360" w:lineRule="auto"/>
        <w:ind w:firstLine="412"/>
        <w:rPr>
          <w:rFonts w:hint="eastAsia" w:ascii="宋体" w:hAnsi="宋体" w:eastAsia="宋体" w:cs="宋体"/>
          <w:sz w:val="24"/>
          <w:szCs w:val="24"/>
        </w:rPr>
      </w:pPr>
      <w:r>
        <w:rPr>
          <w:rFonts w:hint="eastAsia" w:ascii="宋体" w:hAnsi="宋体" w:eastAsia="宋体" w:cs="宋体"/>
          <w:sz w:val="24"/>
          <w:szCs w:val="24"/>
        </w:rPr>
        <w:t>5.乙方需列表说明所有产品的制造商名称、品牌、产地、参数；涉及知识产权的须提供知识产权证明文件。</w:t>
      </w:r>
    </w:p>
    <w:p>
      <w:pPr>
        <w:spacing w:line="360" w:lineRule="auto"/>
        <w:ind w:firstLine="412"/>
        <w:rPr>
          <w:rFonts w:hint="eastAsia" w:ascii="宋体" w:hAnsi="宋体" w:eastAsia="宋体" w:cs="宋体"/>
          <w:sz w:val="24"/>
          <w:szCs w:val="24"/>
        </w:rPr>
      </w:pPr>
      <w:r>
        <w:rPr>
          <w:rFonts w:hint="eastAsia" w:ascii="宋体" w:hAnsi="宋体" w:eastAsia="宋体" w:cs="宋体"/>
          <w:sz w:val="24"/>
          <w:szCs w:val="24"/>
        </w:rPr>
        <w:t>6.如果由于产品质量问题，导致产品使用过程中造成人员伤害的，全部责任由乙方承担，此外，甲方有权没收履约保证金及追究违约责任。</w:t>
      </w:r>
    </w:p>
    <w:p>
      <w:pPr>
        <w:spacing w:line="360" w:lineRule="auto"/>
        <w:ind w:firstLine="412"/>
        <w:rPr>
          <w:rFonts w:hint="eastAsia" w:ascii="宋体" w:hAnsi="宋体" w:eastAsia="宋体" w:cs="宋体"/>
          <w:sz w:val="24"/>
          <w:szCs w:val="24"/>
        </w:rPr>
      </w:pPr>
      <w:r>
        <w:rPr>
          <w:rFonts w:hint="eastAsia" w:ascii="宋体" w:hAnsi="宋体" w:eastAsia="宋体" w:cs="宋体"/>
          <w:sz w:val="24"/>
          <w:szCs w:val="24"/>
        </w:rPr>
        <w:t>7.安装调试期间须按甲方的要求做好新冠疫情防控工作。</w:t>
      </w:r>
    </w:p>
    <w:p>
      <w:pPr>
        <w:numPr>
          <w:ilvl w:val="0"/>
          <w:numId w:val="12"/>
        </w:numPr>
        <w:spacing w:line="360" w:lineRule="auto"/>
        <w:rPr>
          <w:rFonts w:hint="eastAsia" w:ascii="宋体" w:hAnsi="宋体" w:eastAsia="宋体" w:cs="宋体"/>
          <w:sz w:val="24"/>
          <w:szCs w:val="24"/>
        </w:rPr>
      </w:pPr>
      <w:r>
        <w:rPr>
          <w:rFonts w:hint="eastAsia" w:ascii="宋体" w:hAnsi="宋体" w:eastAsia="宋体" w:cs="宋体"/>
          <w:b/>
          <w:sz w:val="24"/>
          <w:szCs w:val="24"/>
        </w:rPr>
        <w:t>合同生效</w:t>
      </w:r>
    </w:p>
    <w:p>
      <w:pPr>
        <w:spacing w:line="360" w:lineRule="auto"/>
        <w:ind w:firstLine="412"/>
        <w:rPr>
          <w:rFonts w:hint="eastAsia" w:ascii="宋体" w:hAnsi="宋体" w:eastAsia="宋体" w:cs="宋体"/>
          <w:sz w:val="24"/>
          <w:szCs w:val="24"/>
        </w:rPr>
      </w:pPr>
      <w:r>
        <w:rPr>
          <w:rFonts w:hint="eastAsia" w:ascii="宋体" w:hAnsi="宋体" w:eastAsia="宋体" w:cs="宋体"/>
          <w:sz w:val="24"/>
          <w:szCs w:val="24"/>
        </w:rPr>
        <w:t>1.本合同在甲乙双方法人代表或其授权代表签字盖章后生效。合同生效日期以后一个签字的日期为准。</w:t>
      </w:r>
    </w:p>
    <w:p>
      <w:pPr>
        <w:spacing w:line="360" w:lineRule="auto"/>
        <w:ind w:firstLine="412"/>
        <w:rPr>
          <w:rFonts w:hint="eastAsia" w:ascii="宋体" w:hAnsi="宋体" w:eastAsia="宋体" w:cs="宋体"/>
          <w:sz w:val="24"/>
          <w:szCs w:val="24"/>
        </w:rPr>
      </w:pPr>
      <w:r>
        <w:rPr>
          <w:rFonts w:hint="eastAsia" w:ascii="宋体" w:hAnsi="宋体" w:eastAsia="宋体" w:cs="宋体"/>
          <w:sz w:val="24"/>
          <w:szCs w:val="24"/>
        </w:rPr>
        <w:t>2.合同一式</w:t>
      </w:r>
      <w:r>
        <w:rPr>
          <w:rFonts w:hint="eastAsia" w:ascii="宋体" w:hAnsi="宋体" w:eastAsia="宋体" w:cs="宋体"/>
          <w:sz w:val="24"/>
          <w:szCs w:val="24"/>
          <w:u w:val="single"/>
        </w:rPr>
        <w:t xml:space="preserve"> 四 </w:t>
      </w:r>
      <w:r>
        <w:rPr>
          <w:rFonts w:hint="eastAsia" w:ascii="宋体" w:hAnsi="宋体" w:eastAsia="宋体" w:cs="宋体"/>
          <w:sz w:val="24"/>
          <w:szCs w:val="24"/>
        </w:rPr>
        <w:t>份。其中甲方</w:t>
      </w:r>
      <w:r>
        <w:rPr>
          <w:rFonts w:hint="eastAsia" w:ascii="宋体" w:hAnsi="宋体" w:eastAsia="宋体" w:cs="宋体"/>
          <w:sz w:val="24"/>
          <w:szCs w:val="24"/>
          <w:u w:val="single"/>
        </w:rPr>
        <w:t xml:space="preserve"> 叁  </w:t>
      </w:r>
      <w:r>
        <w:rPr>
          <w:rFonts w:hint="eastAsia" w:ascii="宋体" w:hAnsi="宋体" w:eastAsia="宋体" w:cs="宋体"/>
          <w:sz w:val="24"/>
          <w:szCs w:val="24"/>
        </w:rPr>
        <w:t>份，乙方</w:t>
      </w:r>
      <w:r>
        <w:rPr>
          <w:rFonts w:hint="eastAsia" w:ascii="宋体" w:hAnsi="宋体" w:eastAsia="宋体" w:cs="宋体"/>
          <w:sz w:val="24"/>
          <w:szCs w:val="24"/>
          <w:u w:val="single"/>
        </w:rPr>
        <w:t xml:space="preserve"> 壹 </w:t>
      </w:r>
      <w:r>
        <w:rPr>
          <w:rFonts w:hint="eastAsia" w:ascii="宋体" w:hAnsi="宋体" w:eastAsia="宋体" w:cs="宋体"/>
          <w:sz w:val="24"/>
          <w:szCs w:val="24"/>
        </w:rPr>
        <w:t>份。</w:t>
      </w:r>
    </w:p>
    <w:p>
      <w:pPr>
        <w:spacing w:line="360" w:lineRule="auto"/>
        <w:rPr>
          <w:rFonts w:hint="eastAsia" w:ascii="宋体" w:hAnsi="宋体" w:eastAsia="宋体" w:cs="宋体"/>
          <w:sz w:val="24"/>
          <w:szCs w:val="24"/>
        </w:rPr>
      </w:pPr>
      <w:r>
        <w:rPr>
          <w:rFonts w:hint="eastAsia" w:ascii="宋体" w:hAnsi="宋体" w:eastAsia="宋体" w:cs="宋体"/>
          <w:sz w:val="24"/>
          <w:szCs w:val="24"/>
        </w:rPr>
        <w:t>（以下无正文）</w:t>
      </w:r>
    </w:p>
    <w:p>
      <w:pPr>
        <w:pStyle w:val="12"/>
        <w:spacing w:line="360" w:lineRule="auto"/>
        <w:rPr>
          <w:rFonts w:hint="eastAsia" w:ascii="宋体" w:hAnsi="宋体" w:eastAsia="宋体" w:cs="宋体"/>
          <w:sz w:val="24"/>
          <w:szCs w:val="24"/>
        </w:rPr>
      </w:pPr>
    </w:p>
    <w:tbl>
      <w:tblPr>
        <w:tblStyle w:val="8"/>
        <w:tblW w:w="0" w:type="auto"/>
        <w:tblInd w:w="0" w:type="dxa"/>
        <w:tblLayout w:type="autofit"/>
        <w:tblCellMar>
          <w:top w:w="0" w:type="dxa"/>
          <w:left w:w="108" w:type="dxa"/>
          <w:bottom w:w="0" w:type="dxa"/>
          <w:right w:w="108" w:type="dxa"/>
        </w:tblCellMar>
      </w:tblPr>
      <w:tblGrid>
        <w:gridCol w:w="4495"/>
        <w:gridCol w:w="3811"/>
      </w:tblGrid>
      <w:tr>
        <w:tblPrEx>
          <w:tblCellMar>
            <w:top w:w="0" w:type="dxa"/>
            <w:left w:w="108" w:type="dxa"/>
            <w:bottom w:w="0" w:type="dxa"/>
            <w:right w:w="108" w:type="dxa"/>
          </w:tblCellMar>
        </w:tblPrEx>
        <w:tc>
          <w:tcPr>
            <w:tcW w:w="4495" w:type="dxa"/>
            <w:tcBorders>
              <w:top w:val="nil"/>
              <w:left w:val="nil"/>
              <w:bottom w:val="nil"/>
              <w:right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甲方：广州市杏林卫生服务有限责任公司 </w:t>
            </w:r>
          </w:p>
        </w:tc>
        <w:tc>
          <w:tcPr>
            <w:tcW w:w="3811" w:type="dxa"/>
            <w:tcBorders>
              <w:top w:val="nil"/>
              <w:left w:val="nil"/>
              <w:bottom w:val="nil"/>
              <w:right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乙方：</w:t>
            </w:r>
          </w:p>
        </w:tc>
      </w:tr>
      <w:tr>
        <w:tblPrEx>
          <w:tblCellMar>
            <w:top w:w="0" w:type="dxa"/>
            <w:left w:w="108" w:type="dxa"/>
            <w:bottom w:w="0" w:type="dxa"/>
            <w:right w:w="108" w:type="dxa"/>
          </w:tblCellMar>
        </w:tblPrEx>
        <w:tc>
          <w:tcPr>
            <w:tcW w:w="4495" w:type="dxa"/>
            <w:tcBorders>
              <w:top w:val="nil"/>
              <w:left w:val="nil"/>
              <w:bottom w:val="nil"/>
              <w:right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地址：</w:t>
            </w:r>
          </w:p>
        </w:tc>
        <w:tc>
          <w:tcPr>
            <w:tcW w:w="3811" w:type="dxa"/>
            <w:tcBorders>
              <w:top w:val="nil"/>
              <w:left w:val="nil"/>
              <w:bottom w:val="nil"/>
              <w:right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地址：</w:t>
            </w:r>
          </w:p>
        </w:tc>
      </w:tr>
      <w:tr>
        <w:tblPrEx>
          <w:tblCellMar>
            <w:top w:w="0" w:type="dxa"/>
            <w:left w:w="108" w:type="dxa"/>
            <w:bottom w:w="0" w:type="dxa"/>
            <w:right w:w="108" w:type="dxa"/>
          </w:tblCellMar>
        </w:tblPrEx>
        <w:tc>
          <w:tcPr>
            <w:tcW w:w="4495" w:type="dxa"/>
            <w:tcBorders>
              <w:top w:val="nil"/>
              <w:left w:val="nil"/>
              <w:bottom w:val="nil"/>
              <w:right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w:t>
            </w:r>
          </w:p>
        </w:tc>
        <w:tc>
          <w:tcPr>
            <w:tcW w:w="3811" w:type="dxa"/>
            <w:tcBorders>
              <w:top w:val="nil"/>
              <w:left w:val="nil"/>
              <w:bottom w:val="nil"/>
              <w:right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w:t>
            </w:r>
          </w:p>
        </w:tc>
      </w:tr>
      <w:tr>
        <w:tblPrEx>
          <w:tblCellMar>
            <w:top w:w="0" w:type="dxa"/>
            <w:left w:w="108" w:type="dxa"/>
            <w:bottom w:w="0" w:type="dxa"/>
            <w:right w:w="108" w:type="dxa"/>
          </w:tblCellMar>
        </w:tblPrEx>
        <w:tc>
          <w:tcPr>
            <w:tcW w:w="4495" w:type="dxa"/>
            <w:tcBorders>
              <w:top w:val="nil"/>
              <w:left w:val="nil"/>
              <w:bottom w:val="nil"/>
              <w:right w:val="nil"/>
            </w:tcBorders>
          </w:tcPr>
          <w:p>
            <w:pPr>
              <w:spacing w:line="360" w:lineRule="auto"/>
              <w:rPr>
                <w:rFonts w:hint="eastAsia" w:ascii="宋体" w:hAnsi="宋体" w:eastAsia="宋体" w:cs="宋体"/>
                <w:sz w:val="24"/>
                <w:szCs w:val="24"/>
              </w:rPr>
            </w:pPr>
          </w:p>
        </w:tc>
        <w:tc>
          <w:tcPr>
            <w:tcW w:w="3811" w:type="dxa"/>
            <w:tcBorders>
              <w:top w:val="nil"/>
              <w:left w:val="nil"/>
              <w:bottom w:val="nil"/>
              <w:right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电话：</w:t>
            </w:r>
          </w:p>
        </w:tc>
      </w:tr>
      <w:tr>
        <w:tblPrEx>
          <w:tblCellMar>
            <w:top w:w="0" w:type="dxa"/>
            <w:left w:w="108" w:type="dxa"/>
            <w:bottom w:w="0" w:type="dxa"/>
            <w:right w:w="108" w:type="dxa"/>
          </w:tblCellMar>
        </w:tblPrEx>
        <w:tc>
          <w:tcPr>
            <w:tcW w:w="4495" w:type="dxa"/>
            <w:tcBorders>
              <w:top w:val="nil"/>
              <w:left w:val="nil"/>
              <w:bottom w:val="nil"/>
              <w:right w:val="nil"/>
            </w:tcBorders>
          </w:tcPr>
          <w:p>
            <w:pPr>
              <w:spacing w:line="360" w:lineRule="auto"/>
              <w:rPr>
                <w:rFonts w:hint="eastAsia" w:ascii="宋体" w:hAnsi="宋体" w:eastAsia="宋体" w:cs="宋体"/>
                <w:sz w:val="24"/>
                <w:szCs w:val="24"/>
              </w:rPr>
            </w:pPr>
          </w:p>
        </w:tc>
        <w:tc>
          <w:tcPr>
            <w:tcW w:w="3811" w:type="dxa"/>
            <w:tcBorders>
              <w:top w:val="nil"/>
              <w:left w:val="nil"/>
              <w:bottom w:val="nil"/>
              <w:right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开户银行：</w:t>
            </w:r>
          </w:p>
        </w:tc>
      </w:tr>
      <w:tr>
        <w:tblPrEx>
          <w:tblCellMar>
            <w:top w:w="0" w:type="dxa"/>
            <w:left w:w="108" w:type="dxa"/>
            <w:bottom w:w="0" w:type="dxa"/>
            <w:right w:w="108" w:type="dxa"/>
          </w:tblCellMar>
        </w:tblPrEx>
        <w:tc>
          <w:tcPr>
            <w:tcW w:w="4495" w:type="dxa"/>
            <w:tcBorders>
              <w:top w:val="nil"/>
              <w:left w:val="nil"/>
              <w:bottom w:val="nil"/>
              <w:right w:val="nil"/>
            </w:tcBorders>
          </w:tcPr>
          <w:p>
            <w:pPr>
              <w:spacing w:line="360" w:lineRule="auto"/>
              <w:rPr>
                <w:rFonts w:hint="eastAsia" w:ascii="宋体" w:hAnsi="宋体" w:eastAsia="宋体" w:cs="宋体"/>
                <w:sz w:val="24"/>
                <w:szCs w:val="24"/>
              </w:rPr>
            </w:pPr>
          </w:p>
        </w:tc>
        <w:tc>
          <w:tcPr>
            <w:tcW w:w="3811" w:type="dxa"/>
            <w:tcBorders>
              <w:top w:val="nil"/>
              <w:left w:val="nil"/>
              <w:bottom w:val="nil"/>
              <w:right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帐号：</w:t>
            </w:r>
          </w:p>
        </w:tc>
      </w:tr>
      <w:tr>
        <w:tblPrEx>
          <w:tblCellMar>
            <w:top w:w="0" w:type="dxa"/>
            <w:left w:w="108" w:type="dxa"/>
            <w:bottom w:w="0" w:type="dxa"/>
            <w:right w:w="108" w:type="dxa"/>
          </w:tblCellMar>
        </w:tblPrEx>
        <w:tc>
          <w:tcPr>
            <w:tcW w:w="4495" w:type="dxa"/>
            <w:tcBorders>
              <w:top w:val="nil"/>
              <w:left w:val="nil"/>
              <w:bottom w:val="nil"/>
              <w:right w:val="nil"/>
            </w:tcBorders>
          </w:tcPr>
          <w:p>
            <w:pPr>
              <w:spacing w:line="360" w:lineRule="auto"/>
              <w:rPr>
                <w:rFonts w:hint="eastAsia" w:ascii="宋体" w:hAnsi="宋体" w:eastAsia="宋体" w:cs="宋体"/>
                <w:sz w:val="24"/>
                <w:szCs w:val="24"/>
              </w:rPr>
            </w:pPr>
          </w:p>
        </w:tc>
        <w:tc>
          <w:tcPr>
            <w:tcW w:w="3811" w:type="dxa"/>
            <w:tcBorders>
              <w:top w:val="nil"/>
              <w:left w:val="nil"/>
              <w:bottom w:val="nil"/>
              <w:right w:val="nil"/>
            </w:tcBorders>
          </w:tcPr>
          <w:p>
            <w:pPr>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c>
          <w:tcPr>
            <w:tcW w:w="4495" w:type="dxa"/>
            <w:tcBorders>
              <w:top w:val="nil"/>
              <w:left w:val="nil"/>
              <w:bottom w:val="nil"/>
              <w:right w:val="nil"/>
            </w:tcBorders>
          </w:tcPr>
          <w:p>
            <w:pPr>
              <w:spacing w:line="360" w:lineRule="auto"/>
              <w:rPr>
                <w:rFonts w:hint="eastAsia" w:ascii="宋体" w:hAnsi="宋体" w:eastAsia="宋体" w:cs="宋体"/>
                <w:sz w:val="24"/>
                <w:szCs w:val="24"/>
              </w:rPr>
            </w:pPr>
          </w:p>
        </w:tc>
        <w:tc>
          <w:tcPr>
            <w:tcW w:w="3811" w:type="dxa"/>
            <w:tcBorders>
              <w:top w:val="nil"/>
              <w:left w:val="nil"/>
              <w:bottom w:val="nil"/>
              <w:right w:val="nil"/>
            </w:tcBorders>
          </w:tcPr>
          <w:p>
            <w:pPr>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c>
          <w:tcPr>
            <w:tcW w:w="4495" w:type="dxa"/>
            <w:tcBorders>
              <w:top w:val="nil"/>
              <w:left w:val="nil"/>
              <w:bottom w:val="nil"/>
              <w:right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签订日期:</w:t>
            </w:r>
          </w:p>
        </w:tc>
        <w:tc>
          <w:tcPr>
            <w:tcW w:w="3811" w:type="dxa"/>
            <w:tcBorders>
              <w:top w:val="nil"/>
              <w:left w:val="nil"/>
              <w:bottom w:val="nil"/>
              <w:right w:val="nil"/>
            </w:tcBorders>
          </w:tcPr>
          <w:p>
            <w:pPr>
              <w:spacing w:line="360" w:lineRule="auto"/>
              <w:rPr>
                <w:rFonts w:hint="eastAsia" w:ascii="宋体" w:hAnsi="宋体" w:eastAsia="宋体" w:cs="宋体"/>
                <w:sz w:val="24"/>
                <w:szCs w:val="24"/>
              </w:rPr>
            </w:pPr>
          </w:p>
        </w:tc>
      </w:tr>
    </w:tbl>
    <w:p>
      <w:pPr>
        <w:spacing w:line="360" w:lineRule="auto"/>
        <w:rPr>
          <w:rFonts w:hint="eastAsia" w:ascii="宋体" w:hAnsi="宋体" w:eastAsia="宋体" w:cs="宋体"/>
          <w:sz w:val="24"/>
          <w:szCs w:val="24"/>
        </w:rPr>
      </w:pPr>
    </w:p>
    <w:p>
      <w:pPr>
        <w:pStyle w:val="2"/>
        <w:spacing w:line="360" w:lineRule="auto"/>
        <w:ind w:left="0" w:leftChars="0" w:firstLine="0" w:firstLineChars="0"/>
        <w:rPr>
          <w:rFonts w:hint="eastAsia" w:ascii="宋体" w:hAnsi="宋体" w:eastAsia="宋体" w:cs="宋体"/>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D2219"/>
    <w:multiLevelType w:val="singleLevel"/>
    <w:tmpl w:val="845D2219"/>
    <w:lvl w:ilvl="0" w:tentative="0">
      <w:start w:val="1"/>
      <w:numFmt w:val="decimal"/>
      <w:suff w:val="nothing"/>
      <w:lvlText w:val="（%1）"/>
      <w:lvlJc w:val="left"/>
      <w:pPr>
        <w:ind w:left="0" w:firstLine="0"/>
      </w:pPr>
    </w:lvl>
  </w:abstractNum>
  <w:abstractNum w:abstractNumId="1">
    <w:nsid w:val="9589822C"/>
    <w:multiLevelType w:val="singleLevel"/>
    <w:tmpl w:val="9589822C"/>
    <w:lvl w:ilvl="0" w:tentative="0">
      <w:start w:val="1"/>
      <w:numFmt w:val="decimal"/>
      <w:suff w:val="nothing"/>
      <w:lvlText w:val="%1．"/>
      <w:lvlJc w:val="left"/>
      <w:pPr>
        <w:ind w:left="0" w:firstLine="400"/>
      </w:pPr>
      <w:rPr>
        <w:rFonts w:hint="default" w:ascii="宋体" w:hAnsi="宋体" w:eastAsia="宋体" w:cs="宋体"/>
      </w:rPr>
    </w:lvl>
  </w:abstractNum>
  <w:abstractNum w:abstractNumId="2">
    <w:nsid w:val="A44F7EBC"/>
    <w:multiLevelType w:val="singleLevel"/>
    <w:tmpl w:val="A44F7EBC"/>
    <w:lvl w:ilvl="0" w:tentative="0">
      <w:start w:val="1"/>
      <w:numFmt w:val="decimal"/>
      <w:suff w:val="nothing"/>
      <w:lvlText w:val="（%1）"/>
      <w:lvlJc w:val="left"/>
      <w:pPr>
        <w:ind w:left="0" w:firstLine="0"/>
      </w:pPr>
    </w:lvl>
  </w:abstractNum>
  <w:abstractNum w:abstractNumId="3">
    <w:nsid w:val="A97749B8"/>
    <w:multiLevelType w:val="singleLevel"/>
    <w:tmpl w:val="A97749B8"/>
    <w:lvl w:ilvl="0" w:tentative="0">
      <w:start w:val="1"/>
      <w:numFmt w:val="decimal"/>
      <w:lvlText w:val="%1."/>
      <w:lvlJc w:val="left"/>
      <w:pPr>
        <w:ind w:left="425" w:hanging="425"/>
      </w:pPr>
      <w:rPr>
        <w:rFonts w:hint="default"/>
        <w:b/>
        <w:bCs/>
      </w:rPr>
    </w:lvl>
  </w:abstractNum>
  <w:abstractNum w:abstractNumId="4">
    <w:nsid w:val="D416A41B"/>
    <w:multiLevelType w:val="singleLevel"/>
    <w:tmpl w:val="D416A41B"/>
    <w:lvl w:ilvl="0" w:tentative="0">
      <w:start w:val="1"/>
      <w:numFmt w:val="decimal"/>
      <w:suff w:val="nothing"/>
      <w:lvlText w:val="%1．"/>
      <w:lvlJc w:val="left"/>
      <w:pPr>
        <w:ind w:left="0" w:firstLine="400"/>
      </w:pPr>
    </w:lvl>
  </w:abstractNum>
  <w:abstractNum w:abstractNumId="5">
    <w:nsid w:val="D4287862"/>
    <w:multiLevelType w:val="singleLevel"/>
    <w:tmpl w:val="D4287862"/>
    <w:lvl w:ilvl="0" w:tentative="0">
      <w:start w:val="1"/>
      <w:numFmt w:val="chineseCounting"/>
      <w:suff w:val="nothing"/>
      <w:lvlText w:val="%1、"/>
      <w:lvlJc w:val="left"/>
      <w:pPr>
        <w:ind w:left="0" w:firstLine="0"/>
      </w:pPr>
      <w:rPr>
        <w:rFonts w:hint="eastAsia" w:ascii="宋体" w:hAnsi="宋体" w:eastAsia="宋体" w:cs="宋体"/>
        <w:b/>
        <w:bCs/>
      </w:rPr>
    </w:lvl>
  </w:abstractNum>
  <w:abstractNum w:abstractNumId="6">
    <w:nsid w:val="E1677343"/>
    <w:multiLevelType w:val="singleLevel"/>
    <w:tmpl w:val="E1677343"/>
    <w:lvl w:ilvl="0" w:tentative="0">
      <w:start w:val="1"/>
      <w:numFmt w:val="decimal"/>
      <w:suff w:val="nothing"/>
      <w:lvlText w:val="（%1）"/>
      <w:lvlJc w:val="left"/>
      <w:pPr>
        <w:ind w:left="0" w:firstLine="0"/>
      </w:pPr>
    </w:lvl>
  </w:abstractNum>
  <w:abstractNum w:abstractNumId="7">
    <w:nsid w:val="E8692BDE"/>
    <w:multiLevelType w:val="singleLevel"/>
    <w:tmpl w:val="E8692BDE"/>
    <w:lvl w:ilvl="0" w:tentative="0">
      <w:start w:val="1"/>
      <w:numFmt w:val="decimal"/>
      <w:suff w:val="nothing"/>
      <w:lvlText w:val="（%1）"/>
      <w:lvlJc w:val="left"/>
      <w:pPr>
        <w:ind w:left="0" w:firstLine="0"/>
      </w:pPr>
    </w:lvl>
  </w:abstractNum>
  <w:abstractNum w:abstractNumId="8">
    <w:nsid w:val="19802798"/>
    <w:multiLevelType w:val="singleLevel"/>
    <w:tmpl w:val="19802798"/>
    <w:lvl w:ilvl="0" w:tentative="0">
      <w:start w:val="1"/>
      <w:numFmt w:val="decimal"/>
      <w:suff w:val="nothing"/>
      <w:lvlText w:val="%1．"/>
      <w:lvlJc w:val="left"/>
      <w:pPr>
        <w:ind w:left="0" w:firstLine="400"/>
      </w:pPr>
    </w:lvl>
  </w:abstractNum>
  <w:abstractNum w:abstractNumId="9">
    <w:nsid w:val="321B648B"/>
    <w:multiLevelType w:val="singleLevel"/>
    <w:tmpl w:val="321B648B"/>
    <w:lvl w:ilvl="0" w:tentative="0">
      <w:start w:val="1"/>
      <w:numFmt w:val="decimal"/>
      <w:suff w:val="nothing"/>
      <w:lvlText w:val="%1．"/>
      <w:lvlJc w:val="left"/>
      <w:pPr>
        <w:ind w:left="0" w:firstLine="400"/>
      </w:pPr>
      <w:rPr>
        <w:rFonts w:hint="default"/>
      </w:rPr>
    </w:lvl>
  </w:abstractNum>
  <w:abstractNum w:abstractNumId="10">
    <w:nsid w:val="3478DB79"/>
    <w:multiLevelType w:val="singleLevel"/>
    <w:tmpl w:val="3478DB79"/>
    <w:lvl w:ilvl="0" w:tentative="0">
      <w:start w:val="1"/>
      <w:numFmt w:val="decimal"/>
      <w:suff w:val="nothing"/>
      <w:lvlText w:val="%1．"/>
      <w:lvlJc w:val="left"/>
      <w:pPr>
        <w:ind w:left="0" w:firstLine="400"/>
      </w:pPr>
    </w:lvl>
  </w:abstractNum>
  <w:abstractNum w:abstractNumId="11">
    <w:nsid w:val="4AED81C3"/>
    <w:multiLevelType w:val="singleLevel"/>
    <w:tmpl w:val="4AED81C3"/>
    <w:lvl w:ilvl="0" w:tentative="0">
      <w:start w:val="1"/>
      <w:numFmt w:val="decimal"/>
      <w:suff w:val="nothing"/>
      <w:lvlText w:val="%1．"/>
      <w:lvlJc w:val="left"/>
      <w:pPr>
        <w:ind w:left="0" w:firstLine="400"/>
      </w:pPr>
    </w:lvl>
  </w:abstractNum>
  <w:abstractNum w:abstractNumId="12">
    <w:nsid w:val="54E1AC96"/>
    <w:multiLevelType w:val="singleLevel"/>
    <w:tmpl w:val="54E1AC96"/>
    <w:lvl w:ilvl="0" w:tentative="0">
      <w:start w:val="1"/>
      <w:numFmt w:val="decimal"/>
      <w:suff w:val="nothing"/>
      <w:lvlText w:val="%1．"/>
      <w:lvlJc w:val="left"/>
      <w:pPr>
        <w:ind w:left="0" w:firstLine="400"/>
      </w:pPr>
      <w:rPr>
        <w:rFonts w:hint="default"/>
      </w:rPr>
    </w:lvl>
  </w:abstractNum>
  <w:abstractNum w:abstractNumId="13">
    <w:nsid w:val="69974897"/>
    <w:multiLevelType w:val="singleLevel"/>
    <w:tmpl w:val="69974897"/>
    <w:lvl w:ilvl="0" w:tentative="0">
      <w:start w:val="1"/>
      <w:numFmt w:val="decimal"/>
      <w:suff w:val="nothing"/>
      <w:lvlText w:val="%1．"/>
      <w:lvlJc w:val="left"/>
      <w:pPr>
        <w:ind w:left="0" w:firstLine="400"/>
      </w:pPr>
    </w:lvl>
  </w:abstractNum>
  <w:abstractNum w:abstractNumId="14">
    <w:nsid w:val="6E06A3AB"/>
    <w:multiLevelType w:val="singleLevel"/>
    <w:tmpl w:val="6E06A3AB"/>
    <w:lvl w:ilvl="0" w:tentative="0">
      <w:start w:val="1"/>
      <w:numFmt w:val="chineseCounting"/>
      <w:suff w:val="nothing"/>
      <w:lvlText w:val="%1、"/>
      <w:lvlJc w:val="left"/>
      <w:pPr>
        <w:ind w:left="0" w:firstLine="0"/>
      </w:pPr>
      <w:rPr>
        <w:b/>
        <w:bCs/>
      </w:rPr>
    </w:lvl>
  </w:abstractNum>
  <w:abstractNum w:abstractNumId="15">
    <w:nsid w:val="7CDCF1A7"/>
    <w:multiLevelType w:val="singleLevel"/>
    <w:tmpl w:val="7CDCF1A7"/>
    <w:lvl w:ilvl="0" w:tentative="0">
      <w:start w:val="1"/>
      <w:numFmt w:val="decimal"/>
      <w:suff w:val="nothing"/>
      <w:lvlText w:val="%1．"/>
      <w:lvlJc w:val="left"/>
      <w:pPr>
        <w:ind w:left="0" w:firstLine="400"/>
      </w:pPr>
      <w:rPr>
        <w:rFonts w:hint="default"/>
      </w:rPr>
    </w:lvl>
  </w:abstractNum>
  <w:num w:numId="1">
    <w:abstractNumId w:val="5"/>
  </w:num>
  <w:num w:numId="2">
    <w:abstractNumId w:val="15"/>
  </w:num>
  <w:num w:numId="3">
    <w:abstractNumId w:val="10"/>
    <w:lvlOverride w:ilvl="0">
      <w:startOverride w:val="1"/>
    </w:lvlOverride>
  </w:num>
  <w:num w:numId="4">
    <w:abstractNumId w:val="7"/>
    <w:lvlOverride w:ilvl="0">
      <w:startOverride w:val="1"/>
    </w:lvlOverride>
  </w:num>
  <w:num w:numId="5">
    <w:abstractNumId w:val="6"/>
    <w:lvlOverride w:ilvl="0">
      <w:startOverride w:val="1"/>
    </w:lvlOverride>
  </w:num>
  <w:num w:numId="6">
    <w:abstractNumId w:val="2"/>
    <w:lvlOverride w:ilvl="0">
      <w:startOverride w:val="1"/>
    </w:lvlOverride>
  </w:num>
  <w:num w:numId="7">
    <w:abstractNumId w:val="11"/>
    <w:lvlOverride w:ilvl="0">
      <w:startOverride w:val="1"/>
    </w:lvlOverride>
  </w:num>
  <w:num w:numId="8">
    <w:abstractNumId w:val="12"/>
  </w:num>
  <w:num w:numId="9">
    <w:abstractNumId w:val="9"/>
  </w:num>
  <w:num w:numId="10">
    <w:abstractNumId w:val="3"/>
  </w:num>
  <w:num w:numId="11">
    <w:abstractNumId w:val="1"/>
  </w:num>
  <w:num w:numId="12">
    <w:abstractNumId w:val="14"/>
    <w:lvlOverride w:ilvl="0">
      <w:startOverride w:val="1"/>
    </w:lvlOverride>
  </w:num>
  <w:num w:numId="13">
    <w:abstractNumId w:val="13"/>
    <w:lvlOverride w:ilvl="0">
      <w:startOverride w:val="1"/>
    </w:lvlOverride>
  </w:num>
  <w:num w:numId="14">
    <w:abstractNumId w:val="4"/>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MTU3YmZhMmViM2Q1ZjY1Y2Q0NjdiYTQwOWY0MjcifQ=="/>
  </w:docVars>
  <w:rsids>
    <w:rsidRoot w:val="1100113B"/>
    <w:rsid w:val="088B0F96"/>
    <w:rsid w:val="09C851E3"/>
    <w:rsid w:val="1100113B"/>
    <w:rsid w:val="118309DC"/>
    <w:rsid w:val="7225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unhideWhenUsed/>
    <w:qFormat/>
    <w:uiPriority w:val="99"/>
    <w:pPr>
      <w:spacing w:after="120"/>
    </w:pPr>
    <w:rPr>
      <w:szCs w:val="22"/>
    </w:rPr>
  </w:style>
  <w:style w:type="paragraph" w:styleId="4">
    <w:name w:val="Body Text First Indent"/>
    <w:basedOn w:val="3"/>
    <w:qFormat/>
    <w:uiPriority w:val="0"/>
    <w:pPr>
      <w:spacing w:after="120" w:line="360" w:lineRule="exact"/>
      <w:ind w:left="400" w:leftChars="400" w:firstLine="420" w:firstLineChars="100"/>
    </w:pPr>
    <w:rPr>
      <w:rFonts w:eastAsia="楷体_GB2312"/>
      <w:sz w:val="24"/>
      <w:szCs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0" w:after="105" w:afterAutospacing="0" w:line="23" w:lineRule="atLeast"/>
      <w:ind w:left="0" w:right="0"/>
      <w:jc w:val="left"/>
    </w:pPr>
    <w:rPr>
      <w:color w:val="333333"/>
      <w:kern w:val="0"/>
      <w:sz w:val="21"/>
      <w:szCs w:val="21"/>
      <w:lang w:val="en-US" w:eastAsia="zh-CN" w:bidi="ar"/>
    </w:rPr>
  </w:style>
  <w:style w:type="character" w:styleId="10">
    <w:name w:val="Hyperlink"/>
    <w:basedOn w:val="9"/>
    <w:qFormat/>
    <w:uiPriority w:val="0"/>
    <w:rPr>
      <w:color w:val="8D526D"/>
      <w:u w:val="none"/>
    </w:rPr>
  </w:style>
  <w:style w:type="paragraph" w:styleId="1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表格文字"/>
    <w:basedOn w:val="1"/>
    <w:next w:val="3"/>
    <w:qFormat/>
    <w:uiPriority w:val="0"/>
    <w:pPr>
      <w:spacing w:before="25" w:after="25"/>
      <w:jc w:val="left"/>
    </w:pPr>
    <w:rPr>
      <w:rFonts w:ascii="Times New Roman" w:hAnsi="Times New Roman"/>
      <w:bCs/>
      <w:spacing w:val="10"/>
      <w:kern w:val="0"/>
      <w:sz w:val="24"/>
      <w:szCs w:val="20"/>
    </w:rPr>
  </w:style>
  <w:style w:type="paragraph" w:customStyle="1" w:styleId="13">
    <w:name w:val="首行缩进"/>
    <w:basedOn w:val="1"/>
    <w:qFormat/>
    <w:uiPriority w:val="0"/>
    <w:pPr>
      <w:autoSpaceDE w:val="0"/>
      <w:autoSpaceDN w:val="0"/>
      <w:adjustRightInd w:val="0"/>
      <w:ind w:firstLine="480" w:firstLineChars="200"/>
      <w:jc w:val="left"/>
    </w:pPr>
    <w:rPr>
      <w:rFonts w:ascii="Times New Roman" w:hAnsi="Times New Roman"/>
      <w:kern w:val="0"/>
      <w:szCs w:val="21"/>
    </w:rPr>
  </w:style>
  <w:style w:type="paragraph" w:customStyle="1" w:styleId="14">
    <w:name w:val="RFI Heading 2nd Level Char"/>
    <w:basedOn w:val="1"/>
    <w:next w:val="15"/>
    <w:qFormat/>
    <w:uiPriority w:val="0"/>
    <w:pPr>
      <w:widowControl/>
      <w:spacing w:before="240" w:after="240"/>
      <w:ind w:left="1152" w:hanging="1152"/>
      <w:outlineLvl w:val="1"/>
    </w:pPr>
    <w:rPr>
      <w:rFonts w:ascii="Arial (W1)" w:eastAsia="Times New Roman"/>
      <w:b/>
      <w:color w:val="3366FF"/>
      <w:sz w:val="24"/>
    </w:rPr>
  </w:style>
  <w:style w:type="paragraph" w:customStyle="1" w:styleId="15">
    <w:name w:val="Normal 0.51"/>
    <w:basedOn w:val="1"/>
    <w:next w:val="1"/>
    <w:qFormat/>
    <w:uiPriority w:val="0"/>
    <w:pPr>
      <w:widowControl/>
      <w:spacing w:before="180" w:after="120"/>
      <w:ind w:left="72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6690</Words>
  <Characters>6839</Characters>
  <Lines>0</Lines>
  <Paragraphs>0</Paragraphs>
  <TotalTime>0</TotalTime>
  <ScaleCrop>false</ScaleCrop>
  <LinksUpToDate>false</LinksUpToDate>
  <CharactersWithSpaces>7637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2023-05-23T03:20:00Z</dcterms:created>
  <dc:creator>鱼仔</dc:creator>
  <cp:lastModifiedBy>鱼仔</cp:lastModifiedBy>
  <dcterms:modified xsi:type="dcterms:W3CDTF">2023-06-13T01:20:26Z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CE6C6BC876C047EF96641CFFF5DD5C41_11</vt:lpwstr>
  </property>
</Properties>
</file>