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59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077"/>
        <w:gridCol w:w="2941"/>
        <w:gridCol w:w="898"/>
        <w:gridCol w:w="975"/>
        <w:gridCol w:w="1515"/>
        <w:gridCol w:w="1515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59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中山大学附属第一医院玉米芯垫料、纸棒、葵花籽采购项目报价单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77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94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规格/型号</w:t>
            </w:r>
          </w:p>
        </w:tc>
        <w:tc>
          <w:tcPr>
            <w:tcW w:w="8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元）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元）</w:t>
            </w:r>
          </w:p>
        </w:tc>
        <w:tc>
          <w:tcPr>
            <w:tcW w:w="38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实验动物用玉米芯垫料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杂质和粉尘：≤1g/kg；可高温高压灭菌；1.7mm-2mm（8-10目）；20kg/袋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其他要求请见附件）</w:t>
            </w:r>
          </w:p>
        </w:tc>
        <w:tc>
          <w:tcPr>
            <w:tcW w:w="8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20000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1" w:type="dxa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化学污染物指标、微生物指标需满足国家标准GB14924.2-2001，提供第三方检测报告（含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附件要求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检验项目内容）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0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实验动物纸质垫料纸棒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paper rolls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ZB01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直径6mm，长度0.5-1cm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圆柱形，纯纸浆生产</w:t>
            </w:r>
          </w:p>
        </w:tc>
        <w:tc>
          <w:tcPr>
            <w:tcW w:w="89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提供第三方检测报告，主要是检验吸水性，微生物，化学污染指标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0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实验动物葵花籽</w:t>
            </w:r>
          </w:p>
        </w:tc>
        <w:tc>
          <w:tcPr>
            <w:tcW w:w="29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食品级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生瓜子：原味，瓜子壳黑心白边，整体黑中略灰，皮薄仁大，保存于阴凉干燥处保存。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质保期6个月。</w:t>
            </w:r>
          </w:p>
        </w:tc>
        <w:tc>
          <w:tcPr>
            <w:tcW w:w="89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千克</w:t>
            </w:r>
          </w:p>
        </w:tc>
        <w:tc>
          <w:tcPr>
            <w:tcW w:w="97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94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（大写RMB）：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59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60" w:hanging="660" w:hanging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说明：1.以上报价含税及配送运输费（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按使用科室需求分批送货，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送至使用科室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，不得以单次订购量少为由拒绝配送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需按要求提供试用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8859" w:firstLineChars="4027"/>
        <w:jc w:val="left"/>
        <w:rPr>
          <w:rFonts w:cs="宋体" w:asciiTheme="minorEastAsia" w:hAnsiTheme="minorEastAsia"/>
          <w:color w:val="000000"/>
          <w:kern w:val="0"/>
          <w:sz w:val="22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szCs w:val="21"/>
        </w:rPr>
        <w:t>报价单位：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910" w:firstLineChars="4050"/>
        <w:rPr>
          <w:rFonts w:cs="宋体" w:asciiTheme="minorEastAsia" w:hAnsiTheme="minorEastAsia"/>
          <w:color w:val="000000"/>
          <w:kern w:val="0"/>
          <w:sz w:val="22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szCs w:val="21"/>
        </w:rPr>
        <w:t>（加盖公章）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910" w:firstLineChars="4050"/>
        <w:rPr>
          <w:rFonts w:cs="宋体" w:asciiTheme="minorEastAsia" w:hAnsiTheme="minorEastAsia"/>
          <w:color w:val="000000"/>
          <w:kern w:val="0"/>
          <w:sz w:val="22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szCs w:val="21"/>
        </w:rPr>
        <w:t>联 系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910" w:firstLineChars="4050"/>
        <w:rPr>
          <w:rFonts w:cs="宋体" w:asciiTheme="minorEastAsia" w:hAnsiTheme="minorEastAsia"/>
          <w:color w:val="000000"/>
          <w:kern w:val="0"/>
          <w:sz w:val="22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 w:val="22"/>
          <w:szCs w:val="21"/>
        </w:rPr>
        <w:t xml:space="preserve">电 </w:t>
      </w:r>
      <w:r>
        <w:rPr>
          <w:rFonts w:cs="宋体" w:asciiTheme="minorEastAsia" w:hAnsiTheme="minorEastAsia"/>
          <w:color w:val="000000"/>
          <w:kern w:val="0"/>
          <w:sz w:val="22"/>
          <w:szCs w:val="21"/>
        </w:rPr>
        <w:t xml:space="preserve">   </w:t>
      </w:r>
      <w:r>
        <w:rPr>
          <w:rFonts w:hint="eastAsia" w:cs="宋体" w:asciiTheme="minorEastAsia" w:hAnsiTheme="minorEastAsia"/>
          <w:color w:val="000000"/>
          <w:kern w:val="0"/>
          <w:sz w:val="22"/>
          <w:szCs w:val="21"/>
        </w:rPr>
        <w:t>话：</w:t>
      </w:r>
    </w:p>
    <w:p>
      <w:pPr>
        <w:ind w:firstLine="8505" w:firstLineChars="4050"/>
        <w:rPr>
          <w:rFonts w:cs="宋体" w:asciiTheme="minorEastAsia" w:hAnsiTheme="minorEastAsia"/>
          <w:color w:val="000000"/>
          <w:kern w:val="0"/>
          <w:szCs w:val="21"/>
        </w:rPr>
      </w:pPr>
    </w:p>
    <w:p>
      <w:pPr>
        <w:rPr>
          <w:rFonts w:hint="eastAsia" w:cs="宋体" w:asciiTheme="minorEastAsia" w:hAnsiTheme="minorEastAsia"/>
          <w:b/>
          <w:color w:val="000000"/>
          <w:kern w:val="0"/>
          <w:sz w:val="2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2"/>
        </w:rPr>
        <w:br w:type="page"/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22"/>
        </w:rPr>
        <w:t>附件：实验动物用</w:t>
      </w:r>
      <w:r>
        <w:rPr>
          <w:rFonts w:hint="eastAsia" w:ascii="宋体" w:hAnsi="宋体" w:eastAsia="宋体" w:cs="宋体"/>
          <w:b/>
          <w:color w:val="000000"/>
          <w:kern w:val="0"/>
          <w:sz w:val="22"/>
        </w:rPr>
        <w:t>玉米芯垫料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/>
        </w:rPr>
        <w:t>要求</w:t>
      </w:r>
    </w:p>
    <w:p>
      <w:pPr>
        <w:widowControl/>
        <w:tabs>
          <w:tab w:val="left" w:pos="538"/>
        </w:tabs>
        <w:wordWrap w:val="0"/>
        <w:spacing w:line="360" w:lineRule="auto"/>
        <w:jc w:val="left"/>
        <w:rPr>
          <w:rFonts w:ascii="宋体" w:hAnsi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1、</w:t>
      </w:r>
      <w:r>
        <w:rPr>
          <w:rFonts w:hint="eastAsia" w:ascii="宋体" w:hAnsi="宋体" w:cs="宋体"/>
          <w:color w:val="000000"/>
          <w:sz w:val="22"/>
        </w:rPr>
        <w:t>原料：100%玉米芯，体积大、密度小、吸水性能好，48小时吸水量应不小于100%。水分含量：小于11%；</w:t>
      </w:r>
    </w:p>
    <w:p>
      <w:pPr>
        <w:widowControl/>
        <w:tabs>
          <w:tab w:val="left" w:pos="538"/>
        </w:tabs>
        <w:wordWrap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sz w:val="22"/>
        </w:rPr>
        <w:t>2、包装重量：20千克/袋。</w:t>
      </w:r>
    </w:p>
    <w:p>
      <w:pPr>
        <w:widowControl/>
        <w:tabs>
          <w:tab w:val="left" w:pos="538"/>
        </w:tabs>
        <w:wordWrap w:val="0"/>
        <w:spacing w:line="360" w:lineRule="auto"/>
        <w:jc w:val="left"/>
        <w:rPr>
          <w:rFonts w:ascii="宋体" w:hAnsi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3、</w:t>
      </w:r>
      <w:r>
        <w:rPr>
          <w:rFonts w:hint="eastAsia" w:ascii="宋体" w:hAnsi="宋体" w:cs="宋体"/>
          <w:color w:val="000000"/>
          <w:sz w:val="22"/>
        </w:rPr>
        <w:t>规格： 1.7mm-2mm（8-10目）。</w:t>
      </w:r>
    </w:p>
    <w:p>
      <w:pPr>
        <w:widowControl/>
        <w:tabs>
          <w:tab w:val="left" w:pos="538"/>
        </w:tabs>
        <w:wordWrap w:val="0"/>
        <w:spacing w:line="360" w:lineRule="auto"/>
        <w:jc w:val="left"/>
        <w:rPr>
          <w:rFonts w:ascii="宋体" w:hAnsi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4、</w:t>
      </w:r>
      <w:r>
        <w:rPr>
          <w:rFonts w:hint="eastAsia" w:ascii="宋体" w:hAnsi="宋体" w:cs="宋体"/>
          <w:color w:val="000000"/>
          <w:sz w:val="22"/>
        </w:rPr>
        <w:t>杂质和粉尘：</w:t>
      </w:r>
      <w:r>
        <w:rPr>
          <w:rFonts w:hint="eastAsia"/>
          <w:sz w:val="22"/>
        </w:rPr>
        <w:t>≤</w:t>
      </w:r>
      <w:r>
        <w:rPr>
          <w:rFonts w:hint="eastAsia" w:ascii="宋体" w:hAnsi="宋体" w:cs="宋体"/>
          <w:color w:val="000000"/>
          <w:sz w:val="22"/>
        </w:rPr>
        <w:t>1g/kg；可高温高压灭菌。</w:t>
      </w:r>
    </w:p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5、化学污染物指标（表1）、微生物指标（表2）需满足国家标准GB14924.2-2001，</w:t>
      </w:r>
      <w:r>
        <w:rPr>
          <w:rFonts w:hint="eastAsia" w:ascii="宋体" w:hAnsi="宋体" w:cs="宋体"/>
          <w:b/>
          <w:sz w:val="22"/>
        </w:rPr>
        <w:t>提供第三方检测报告（含下面检验项目内容）</w:t>
      </w:r>
      <w:r>
        <w:rPr>
          <w:rFonts w:hint="eastAsia" w:ascii="宋体" w:hAnsi="宋体" w:cs="宋体"/>
          <w:sz w:val="22"/>
        </w:rPr>
        <w:t>。</w:t>
      </w:r>
    </w:p>
    <w:p>
      <w:pPr>
        <w:rPr>
          <w:rFonts w:ascii="宋体" w:hAnsi="宋体" w:cs="宋体"/>
          <w:b/>
          <w:color w:val="000000"/>
          <w:sz w:val="22"/>
        </w:rPr>
      </w:pPr>
    </w:p>
    <w:p>
      <w:pPr>
        <w:rPr>
          <w:rFonts w:ascii="宋体" w:hAnsi="宋体" w:cs="宋体"/>
          <w:b/>
          <w:color w:val="000000"/>
          <w:sz w:val="22"/>
        </w:rPr>
      </w:pPr>
      <w:r>
        <w:rPr>
          <w:rFonts w:hint="eastAsia" w:ascii="宋体" w:hAnsi="宋体" w:cs="宋体"/>
          <w:b/>
          <w:color w:val="000000"/>
          <w:sz w:val="22"/>
        </w:rPr>
        <w:t>表1 化学污染物指标</w:t>
      </w:r>
      <w:r>
        <w:rPr>
          <w:rFonts w:hint="eastAsia" w:ascii="宋体" w:hAnsi="宋体" w:cs="宋体"/>
          <w:color w:val="000000"/>
          <w:sz w:val="22"/>
        </w:rPr>
        <w:t>（GB 14924.2-2001）</w:t>
      </w:r>
    </w:p>
    <w:tbl>
      <w:tblPr>
        <w:tblStyle w:val="8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4"/>
        <w:gridCol w:w="18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项目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砷，mg/kg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铅，mg/kg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镉，mg/kg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汞，mg/kg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0.02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六六六，mg/kg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滴滴涕，mg/kg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0.2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黄曲霉毒素B</w:t>
            </w:r>
            <w:r>
              <w:rPr>
                <w:rFonts w:hint="eastAsia" w:ascii="宋体" w:hAnsi="宋体" w:cs="宋体"/>
                <w:color w:val="000000"/>
                <w:sz w:val="22"/>
                <w:vertAlign w:val="subscript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</w:rPr>
              <w:t>，μg/kg ≤</w:t>
            </w:r>
          </w:p>
        </w:tc>
        <w:tc>
          <w:tcPr>
            <w:tcW w:w="1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20.0</w:t>
            </w:r>
          </w:p>
        </w:tc>
      </w:tr>
    </w:tbl>
    <w:p>
      <w:pPr>
        <w:pStyle w:val="13"/>
        <w:ind w:firstLine="440"/>
        <w:rPr>
          <w:sz w:val="22"/>
          <w:szCs w:val="22"/>
          <w:lang w:val="en-US"/>
        </w:rPr>
      </w:pPr>
    </w:p>
    <w:p>
      <w:pPr>
        <w:jc w:val="left"/>
        <w:rPr>
          <w:rFonts w:ascii="宋体" w:hAnsi="宋体" w:cs="宋体"/>
          <w:b/>
          <w:color w:val="000000"/>
          <w:sz w:val="22"/>
        </w:rPr>
      </w:pPr>
      <w:r>
        <w:rPr>
          <w:rFonts w:hint="eastAsia" w:ascii="宋体" w:hAnsi="宋体" w:cs="宋体"/>
          <w:b/>
          <w:color w:val="000000"/>
          <w:sz w:val="22"/>
        </w:rPr>
        <w:t>表2 微生物指标</w:t>
      </w:r>
      <w:r>
        <w:rPr>
          <w:rFonts w:hint="eastAsia" w:ascii="宋体" w:hAnsi="宋体" w:cs="宋体"/>
          <w:color w:val="000000"/>
          <w:sz w:val="22"/>
        </w:rPr>
        <w:t>（GB 14924.2-2001）</w:t>
      </w:r>
    </w:p>
    <w:tbl>
      <w:tblPr>
        <w:tblStyle w:val="8"/>
        <w:tblW w:w="0" w:type="auto"/>
        <w:tblInd w:w="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34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项目</w:t>
            </w:r>
          </w:p>
        </w:tc>
        <w:tc>
          <w:tcPr>
            <w:tcW w:w="3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菌落总数，cfu/g ≤</w:t>
            </w:r>
          </w:p>
        </w:tc>
        <w:tc>
          <w:tcPr>
            <w:tcW w:w="3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5×10</w:t>
            </w:r>
            <w:r>
              <w:rPr>
                <w:rFonts w:hint="eastAsia" w:ascii="宋体" w:hAnsi="宋体" w:cs="宋体"/>
                <w:color w:val="000000"/>
                <w:sz w:val="22"/>
                <w:vertAlign w:val="superscript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大肠菌数，MPN/100g ≤</w:t>
            </w:r>
          </w:p>
        </w:tc>
        <w:tc>
          <w:tcPr>
            <w:tcW w:w="3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霉菌和酵母数，cfu/g ≤</w:t>
            </w:r>
          </w:p>
        </w:tc>
        <w:tc>
          <w:tcPr>
            <w:tcW w:w="3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100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422" w:firstLineChars="192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致病菌（沙门氏菌）</w:t>
            </w:r>
          </w:p>
        </w:tc>
        <w:tc>
          <w:tcPr>
            <w:tcW w:w="34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不得检出</w:t>
            </w:r>
          </w:p>
        </w:tc>
      </w:tr>
    </w:tbl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6、感官标准：均匀，新鲜、无杂质、无异味、无霉变、无发酵、无虫蛀及鼠咬。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7、不含重金属及芳香类、挥发性物质的原料，无变质、无腐朽、无霉变、无虫蛀。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8、物理性状：颗粒均匀、形态一致、吸水性好、无杂质、无异物、无针刺物。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9、包装：采用清洁的材料包装，包装必须密封，坚固，防水防潮；每包装单位重量或体积一致。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10、运输：运输工具清洁、卫生，运输过程避免日晒雨淋，积压，不能和有毒有害的物品混装。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11、储存：项目所在地必须设置存储场所，满足短周期不间断定期或不定期的供货，供货响应时间不能超过24h。</w:t>
      </w:r>
    </w:p>
    <w:p>
      <w:pPr>
        <w:widowControl/>
        <w:tabs>
          <w:tab w:val="left" w:pos="538"/>
        </w:tabs>
        <w:wordWrap w:val="0"/>
        <w:spacing w:line="360" w:lineRule="auto"/>
        <w:ind w:left="678" w:leftChars="54" w:hanging="56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12、遇到特殊问题时的应急措施：有特殊情况下的应急方案，如遇到特殊情况时如何做到不断货，保证动物饲养的正常维持。</w:t>
      </w:r>
    </w:p>
    <w:sectPr>
      <w:pgSz w:w="16838" w:h="11906" w:orient="landscape"/>
      <w:pgMar w:top="934" w:right="1440" w:bottom="892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Yu Mincho Demibold">
    <w:panose1 w:val="02020600000000000000"/>
    <w:charset w:val="80"/>
    <w:family w:val="roman"/>
    <w:pitch w:val="default"/>
    <w:sig w:usb0="800002E7" w:usb1="2AC7FCFF" w:usb2="00000012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mJjYzI5ZjJlZGViZTRhYTdlMGYwNmRjNTQ0ZTkifQ=="/>
  </w:docVars>
  <w:rsids>
    <w:rsidRoot w:val="008278F3"/>
    <w:rsid w:val="00026283"/>
    <w:rsid w:val="001B751A"/>
    <w:rsid w:val="00266657"/>
    <w:rsid w:val="003959BC"/>
    <w:rsid w:val="003E2550"/>
    <w:rsid w:val="00401F53"/>
    <w:rsid w:val="0046539C"/>
    <w:rsid w:val="00510AB2"/>
    <w:rsid w:val="0053096F"/>
    <w:rsid w:val="00592474"/>
    <w:rsid w:val="00610CB5"/>
    <w:rsid w:val="00656490"/>
    <w:rsid w:val="006E0621"/>
    <w:rsid w:val="007C5573"/>
    <w:rsid w:val="008278F3"/>
    <w:rsid w:val="008E6499"/>
    <w:rsid w:val="009E4695"/>
    <w:rsid w:val="00A14873"/>
    <w:rsid w:val="00A97EAD"/>
    <w:rsid w:val="00AC5B43"/>
    <w:rsid w:val="00B13FA4"/>
    <w:rsid w:val="00B7301E"/>
    <w:rsid w:val="00C14409"/>
    <w:rsid w:val="00C44836"/>
    <w:rsid w:val="00CA32D1"/>
    <w:rsid w:val="00CB1CD6"/>
    <w:rsid w:val="00CE1BDD"/>
    <w:rsid w:val="00D03C8A"/>
    <w:rsid w:val="00D42550"/>
    <w:rsid w:val="00DB0697"/>
    <w:rsid w:val="00E963AC"/>
    <w:rsid w:val="00EF11B5"/>
    <w:rsid w:val="04AC10F3"/>
    <w:rsid w:val="072440CC"/>
    <w:rsid w:val="1B5331C2"/>
    <w:rsid w:val="1E2708E1"/>
    <w:rsid w:val="26A44EFA"/>
    <w:rsid w:val="2A5A1A2F"/>
    <w:rsid w:val="33B51A84"/>
    <w:rsid w:val="416E16A1"/>
    <w:rsid w:val="42E43E64"/>
    <w:rsid w:val="5085101C"/>
    <w:rsid w:val="50A93E55"/>
    <w:rsid w:val="5D331782"/>
    <w:rsid w:val="5F011E9E"/>
    <w:rsid w:val="63A67B08"/>
    <w:rsid w:val="641C538D"/>
    <w:rsid w:val="71C05268"/>
    <w:rsid w:val="73313DE7"/>
    <w:rsid w:val="75C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2"/>
    <w:qFormat/>
    <w:uiPriority w:val="99"/>
    <w:pPr>
      <w:spacing w:line="360" w:lineRule="auto"/>
      <w:ind w:firstLine="420"/>
      <w:jc w:val="left"/>
    </w:pPr>
    <w:rPr>
      <w:rFonts w:eastAsia="Yu Mincho Demibold"/>
      <w:szCs w:val="24"/>
    </w:rPr>
  </w:style>
  <w:style w:type="paragraph" w:styleId="3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semiHidden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正文缩进 字符"/>
    <w:link w:val="2"/>
    <w:qFormat/>
    <w:uiPriority w:val="99"/>
    <w:rPr>
      <w:rFonts w:eastAsia="Yu Mincho Demibold"/>
      <w:szCs w:val="24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rFonts w:ascii="Times New Roman" w:hAnsi="Calibri" w:eastAsia="宋体" w:cs="Times New Roman"/>
      <w:szCs w:val="20"/>
      <w:lang w:val="zh-CN"/>
    </w:rPr>
  </w:style>
  <w:style w:type="character" w:customStyle="1" w:styleId="14">
    <w:name w:val="正文缩进 Char"/>
    <w:qFormat/>
    <w:uiPriority w:val="99"/>
    <w:rPr>
      <w:rFonts w:eastAsia="Yu Mincho Demibold"/>
      <w:szCs w:val="24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9">
    <w:name w:val="批注文字 字符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7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1C3F-D2C1-41E0-BBCB-3C3DC4015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1489</Words>
  <Characters>1770</Characters>
  <Lines>13</Lines>
  <Paragraphs>3</Paragraphs>
  <TotalTime>9</TotalTime>
  <ScaleCrop>false</ScaleCrop>
  <LinksUpToDate>false</LinksUpToDate>
  <CharactersWithSpaces>1848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2023-12-07T04:08:00Z</dcterms:created>
  <dc:creator>AutoBVT</dc:creator>
  <cp:lastModifiedBy>Zhangyx</cp:lastModifiedBy>
  <cp:lastPrinted>2024-05-27T02:14:00Z</cp:lastPrinted>
  <dcterms:modified xsi:type="dcterms:W3CDTF">2024-05-27T02:22:42Z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5710C63CD02F4C76817FF912B068B968_12</vt:lpwstr>
  </property>
</Properties>
</file>