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BD2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宋体"/>
          <w:b/>
          <w:bCs/>
          <w:kern w:val="2"/>
          <w:sz w:val="28"/>
          <w:szCs w:val="28"/>
          <w:lang w:eastAsia="zh-CN"/>
        </w:rPr>
      </w:pPr>
      <w:r>
        <w:rPr>
          <w:rFonts w:hint="eastAsia" w:ascii="仿宋" w:hAnsi="仿宋" w:eastAsia="仿宋" w:cs="仿宋"/>
          <w:b/>
          <w:bCs/>
          <w:color w:val="000000"/>
          <w:kern w:val="2"/>
          <w:sz w:val="28"/>
          <w:szCs w:val="28"/>
          <w:lang w:val="en-US" w:eastAsia="zh-CN" w:bidi="ar"/>
        </w:rPr>
        <w:t>南沙院区办公用饮用水项目需求书</w:t>
      </w:r>
    </w:p>
    <w:p w14:paraId="44445459">
      <w:pPr>
        <w:spacing w:line="360" w:lineRule="auto"/>
        <w:ind w:firstLine="481"/>
        <w:jc w:val="both"/>
        <w:rPr>
          <w:rFonts w:ascii="仿宋" w:hAnsi="仿宋" w:eastAsia="仿宋" w:cs="宋体"/>
          <w:b/>
          <w:bCs/>
          <w:kern w:val="2"/>
          <w:lang w:eastAsia="zh-CN"/>
        </w:rPr>
      </w:pPr>
      <w:r>
        <w:rPr>
          <w:rFonts w:hint="eastAsia" w:ascii="仿宋" w:hAnsi="仿宋" w:eastAsia="仿宋" w:cs="宋体"/>
          <w:b/>
          <w:bCs/>
          <w:kern w:val="2"/>
          <w:lang w:eastAsia="zh-CN"/>
        </w:rPr>
        <w:t>一、项目内容</w:t>
      </w:r>
    </w:p>
    <w:p w14:paraId="4C6AE808">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1.采购内容：</w:t>
      </w:r>
    </w:p>
    <w:p w14:paraId="6B9EE0CF">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中标人负责向采购人供应下表中所列产品及对应采购单价及数量：</w:t>
      </w:r>
    </w:p>
    <w:tbl>
      <w:tblPr>
        <w:tblStyle w:val="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620"/>
        <w:gridCol w:w="976"/>
        <w:gridCol w:w="1390"/>
        <w:gridCol w:w="1597"/>
        <w:gridCol w:w="1616"/>
      </w:tblGrid>
      <w:tr w14:paraId="11A5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38" w:type="dxa"/>
            <w:vAlign w:val="center"/>
          </w:tcPr>
          <w:p w14:paraId="32BE35FA">
            <w:pPr>
              <w:pStyle w:val="2"/>
              <w:spacing w:line="240" w:lineRule="auto"/>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名称</w:t>
            </w:r>
          </w:p>
        </w:tc>
        <w:tc>
          <w:tcPr>
            <w:tcW w:w="1620" w:type="dxa"/>
            <w:vAlign w:val="center"/>
          </w:tcPr>
          <w:p w14:paraId="0A5AD2A1">
            <w:pPr>
              <w:pStyle w:val="2"/>
              <w:spacing w:line="240" w:lineRule="auto"/>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规格</w:t>
            </w:r>
          </w:p>
        </w:tc>
        <w:tc>
          <w:tcPr>
            <w:tcW w:w="976" w:type="dxa"/>
            <w:vAlign w:val="center"/>
          </w:tcPr>
          <w:p w14:paraId="7144BB03">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单位</w:t>
            </w:r>
          </w:p>
        </w:tc>
        <w:tc>
          <w:tcPr>
            <w:tcW w:w="1390" w:type="dxa"/>
            <w:vAlign w:val="center"/>
          </w:tcPr>
          <w:p w14:paraId="11D1DFF6">
            <w:pPr>
              <w:ind w:left="420" w:hanging="420"/>
              <w:jc w:val="center"/>
              <w:rPr>
                <w:rFonts w:ascii="仿宋" w:hAnsi="仿宋" w:eastAsia="仿宋" w:cs="Tahoma"/>
                <w:b/>
                <w:kern w:val="2"/>
                <w:sz w:val="21"/>
                <w:szCs w:val="21"/>
                <w:lang w:eastAsia="zh-CN"/>
              </w:rPr>
            </w:pPr>
            <w:r>
              <w:rPr>
                <w:rFonts w:hint="eastAsia" w:ascii="仿宋" w:hAnsi="仿宋" w:eastAsia="仿宋" w:cs="Tahoma"/>
                <w:b/>
                <w:kern w:val="2"/>
                <w:sz w:val="21"/>
                <w:szCs w:val="21"/>
                <w:lang w:eastAsia="zh-CN"/>
              </w:rPr>
              <w:t>单价限价</w:t>
            </w:r>
          </w:p>
          <w:p w14:paraId="31D7D7EF">
            <w:pPr>
              <w:jc w:val="center"/>
              <w:rPr>
                <w:rFonts w:ascii="仿宋" w:hAnsi="仿宋" w:eastAsia="仿宋" w:cs="Tahoma"/>
                <w:b/>
                <w:kern w:val="2"/>
                <w:sz w:val="21"/>
                <w:szCs w:val="21"/>
                <w:lang w:eastAsia="zh-CN"/>
              </w:rPr>
            </w:pPr>
            <w:r>
              <w:rPr>
                <w:rFonts w:hint="eastAsia" w:ascii="仿宋" w:hAnsi="仿宋" w:eastAsia="仿宋" w:cs="Tahoma"/>
                <w:b/>
                <w:kern w:val="2"/>
                <w:sz w:val="21"/>
                <w:szCs w:val="21"/>
                <w:lang w:eastAsia="zh-CN"/>
              </w:rPr>
              <w:t>（元/桶）</w:t>
            </w:r>
          </w:p>
        </w:tc>
        <w:tc>
          <w:tcPr>
            <w:tcW w:w="1597" w:type="dxa"/>
            <w:vAlign w:val="center"/>
          </w:tcPr>
          <w:p w14:paraId="74B12FD0">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预估采购量</w:t>
            </w:r>
          </w:p>
          <w:p w14:paraId="2D4A794B">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（桶）</w:t>
            </w:r>
          </w:p>
        </w:tc>
        <w:tc>
          <w:tcPr>
            <w:tcW w:w="1616" w:type="dxa"/>
            <w:vAlign w:val="center"/>
          </w:tcPr>
          <w:p w14:paraId="71D4197E">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限价总价</w:t>
            </w:r>
          </w:p>
          <w:p w14:paraId="27241552">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（元）</w:t>
            </w:r>
          </w:p>
        </w:tc>
      </w:tr>
      <w:tr w14:paraId="2BC0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38" w:type="dxa"/>
            <w:vAlign w:val="center"/>
          </w:tcPr>
          <w:p w14:paraId="248F8FFA">
            <w:pPr>
              <w:pStyle w:val="2"/>
              <w:spacing w:line="240" w:lineRule="auto"/>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办公用饮用水</w:t>
            </w:r>
          </w:p>
        </w:tc>
        <w:tc>
          <w:tcPr>
            <w:tcW w:w="1620" w:type="dxa"/>
            <w:vAlign w:val="center"/>
          </w:tcPr>
          <w:p w14:paraId="24121925">
            <w:pPr>
              <w:pStyle w:val="2"/>
              <w:spacing w:line="240" w:lineRule="auto"/>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≥18.9L/桶</w:t>
            </w:r>
          </w:p>
        </w:tc>
        <w:tc>
          <w:tcPr>
            <w:tcW w:w="976" w:type="dxa"/>
            <w:vAlign w:val="center"/>
          </w:tcPr>
          <w:p w14:paraId="0B88F23E">
            <w:pPr>
              <w:jc w:val="center"/>
              <w:rPr>
                <w:rFonts w:ascii="仿宋" w:hAnsi="仿宋" w:eastAsia="仿宋" w:cs="Tahoma"/>
                <w:kern w:val="2"/>
                <w:sz w:val="21"/>
                <w:szCs w:val="21"/>
                <w:lang w:eastAsia="zh-CN"/>
              </w:rPr>
            </w:pPr>
            <w:r>
              <w:rPr>
                <w:rFonts w:hint="eastAsia" w:ascii="仿宋" w:hAnsi="仿宋" w:eastAsia="仿宋" w:cs="Tahoma"/>
                <w:kern w:val="2"/>
                <w:sz w:val="21"/>
                <w:szCs w:val="21"/>
                <w:lang w:eastAsia="zh-CN"/>
              </w:rPr>
              <w:t>桶</w:t>
            </w:r>
          </w:p>
        </w:tc>
        <w:tc>
          <w:tcPr>
            <w:tcW w:w="1390" w:type="dxa"/>
            <w:vAlign w:val="center"/>
          </w:tcPr>
          <w:p w14:paraId="5507A976">
            <w:pPr>
              <w:jc w:val="center"/>
              <w:rPr>
                <w:rFonts w:ascii="仿宋" w:hAnsi="仿宋" w:eastAsia="仿宋" w:cs="Tahoma"/>
                <w:b/>
                <w:kern w:val="2"/>
                <w:sz w:val="21"/>
                <w:szCs w:val="21"/>
                <w:lang w:eastAsia="zh-CN"/>
              </w:rPr>
            </w:pPr>
            <w:r>
              <w:rPr>
                <w:rFonts w:hint="eastAsia" w:ascii="仿宋" w:hAnsi="仿宋" w:eastAsia="仿宋" w:cs="Tahoma"/>
                <w:b/>
                <w:kern w:val="2"/>
                <w:sz w:val="21"/>
                <w:szCs w:val="21"/>
                <w:lang w:eastAsia="zh-CN"/>
              </w:rPr>
              <w:t>1</w:t>
            </w:r>
            <w:r>
              <w:rPr>
                <w:rFonts w:ascii="仿宋" w:hAnsi="仿宋" w:eastAsia="仿宋" w:cs="Tahoma"/>
                <w:b/>
                <w:kern w:val="2"/>
                <w:sz w:val="21"/>
                <w:szCs w:val="21"/>
                <w:lang w:eastAsia="zh-CN"/>
              </w:rPr>
              <w:t>2.50</w:t>
            </w:r>
          </w:p>
        </w:tc>
        <w:tc>
          <w:tcPr>
            <w:tcW w:w="1597" w:type="dxa"/>
            <w:vAlign w:val="center"/>
          </w:tcPr>
          <w:p w14:paraId="4C4154E3">
            <w:pPr>
              <w:widowControl/>
              <w:jc w:val="center"/>
              <w:textAlignment w:val="center"/>
              <w:rPr>
                <w:rFonts w:hint="default" w:ascii="仿宋" w:hAnsi="仿宋" w:eastAsia="仿宋" w:cs="Tahoma"/>
                <w:kern w:val="2"/>
                <w:sz w:val="21"/>
                <w:szCs w:val="21"/>
                <w:lang w:val="en-US" w:eastAsia="zh-CN"/>
              </w:rPr>
            </w:pPr>
            <w:r>
              <w:rPr>
                <w:rFonts w:hint="eastAsia" w:ascii="仿宋" w:hAnsi="仿宋" w:eastAsia="仿宋" w:cs="宋体"/>
                <w:sz w:val="21"/>
                <w:szCs w:val="21"/>
                <w:lang w:val="en-US" w:eastAsia="zh-CN" w:bidi="ar"/>
              </w:rPr>
              <w:t>14400</w:t>
            </w:r>
          </w:p>
        </w:tc>
        <w:tc>
          <w:tcPr>
            <w:tcW w:w="1616" w:type="dxa"/>
            <w:vAlign w:val="center"/>
          </w:tcPr>
          <w:p w14:paraId="2ABB85CF">
            <w:pPr>
              <w:jc w:val="center"/>
              <w:rPr>
                <w:rFonts w:ascii="仿宋" w:hAnsi="仿宋" w:eastAsia="仿宋" w:cs="Tahoma"/>
                <w:kern w:val="2"/>
                <w:sz w:val="21"/>
                <w:szCs w:val="21"/>
                <w:lang w:eastAsia="zh-CN"/>
              </w:rPr>
            </w:pPr>
            <w:r>
              <w:rPr>
                <w:rFonts w:hint="eastAsia" w:ascii="仿宋" w:hAnsi="仿宋" w:eastAsia="仿宋" w:cs="Tahoma"/>
                <w:kern w:val="2"/>
                <w:sz w:val="21"/>
                <w:szCs w:val="21"/>
                <w:lang w:val="en-US" w:eastAsia="zh-CN"/>
              </w:rPr>
              <w:t>180000</w:t>
            </w:r>
            <w:r>
              <w:rPr>
                <w:rFonts w:ascii="仿宋" w:hAnsi="仿宋" w:eastAsia="仿宋" w:cs="Tahoma"/>
                <w:kern w:val="2"/>
                <w:sz w:val="21"/>
                <w:szCs w:val="21"/>
                <w:lang w:eastAsia="zh-CN"/>
              </w:rPr>
              <w:t>.00</w:t>
            </w:r>
          </w:p>
        </w:tc>
      </w:tr>
    </w:tbl>
    <w:p w14:paraId="7A68DC05">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2.配送服务及配送范围：</w:t>
      </w:r>
    </w:p>
    <w:p w14:paraId="45F8B463">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医院常规开诊时间内，根据各个科室需求进行办公用饮用水配送服务，配送服务范围包括医院</w:t>
      </w:r>
      <w:r>
        <w:rPr>
          <w:rFonts w:hint="eastAsia" w:ascii="仿宋" w:hAnsi="仿宋" w:eastAsia="仿宋" w:cs="宋体"/>
          <w:kern w:val="2"/>
          <w:lang w:val="en-US" w:eastAsia="zh-CN"/>
        </w:rPr>
        <w:t>及</w:t>
      </w:r>
      <w:r>
        <w:rPr>
          <w:rFonts w:hint="eastAsia" w:ascii="仿宋" w:hAnsi="仿宋" w:eastAsia="仿宋" w:cs="宋体"/>
          <w:kern w:val="2"/>
          <w:lang w:eastAsia="zh-CN"/>
        </w:rPr>
        <w:t>医院</w:t>
      </w:r>
      <w:bookmarkStart w:id="0" w:name="_GoBack"/>
      <w:bookmarkEnd w:id="0"/>
      <w:r>
        <w:rPr>
          <w:rFonts w:hint="eastAsia" w:ascii="仿宋" w:hAnsi="仿宋" w:eastAsia="仿宋" w:cs="宋体"/>
          <w:kern w:val="2"/>
          <w:lang w:eastAsia="zh-CN"/>
        </w:rPr>
        <w:t>指定的办公地点。</w:t>
      </w:r>
    </w:p>
    <w:p w14:paraId="5F524048">
      <w:pPr>
        <w:spacing w:line="360" w:lineRule="auto"/>
        <w:ind w:firstLine="481"/>
        <w:jc w:val="both"/>
        <w:rPr>
          <w:rFonts w:ascii="仿宋" w:hAnsi="仿宋" w:eastAsia="仿宋" w:cs="宋体"/>
          <w:kern w:val="2"/>
          <w:lang w:eastAsia="zh-CN"/>
        </w:rPr>
      </w:pPr>
      <w:r>
        <w:rPr>
          <w:rFonts w:hint="eastAsia" w:ascii="仿宋" w:hAnsi="仿宋" w:eastAsia="仿宋" w:cs="宋体"/>
          <w:b/>
          <w:bCs/>
          <w:kern w:val="2"/>
          <w:lang w:eastAsia="zh-CN"/>
        </w:rPr>
        <w:t>二、质量保证及服务要求</w:t>
      </w:r>
    </w:p>
    <w:p w14:paraId="33CD5F1E">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1.中标人应保证所提供的办公用饮用水</w:t>
      </w:r>
      <w:r>
        <w:rPr>
          <w:rFonts w:hint="eastAsia" w:ascii="仿宋" w:hAnsi="仿宋" w:eastAsia="仿宋" w:cs="宋体"/>
          <w:kern w:val="2"/>
          <w:lang w:val="en-US" w:eastAsia="zh-CN"/>
        </w:rPr>
        <w:t>为</w:t>
      </w:r>
      <w:r>
        <w:rPr>
          <w:rFonts w:hint="eastAsia" w:ascii="仿宋" w:hAnsi="仿宋" w:eastAsia="仿宋" w:cs="宋体"/>
          <w:kern w:val="2"/>
          <w:lang w:eastAsia="zh-CN"/>
        </w:rPr>
        <w:t>质量合格产品，并提供相应资质的第三方检测机构出具的所响应产品符合标准检测报告；</w:t>
      </w:r>
      <w:r>
        <w:rPr>
          <w:rFonts w:hint="eastAsia" w:ascii="仿宋" w:hAnsi="仿宋" w:eastAsia="仿宋" w:cs="Times New Roman"/>
          <w:color w:val="auto"/>
          <w:kern w:val="0"/>
          <w:sz w:val="24"/>
        </w:rPr>
        <w:t>按照现行包装饮用水国家标准（《GB 19298-2014 食品安全国家标准包装饮用水》、《GB 19304-2018 食品安全国家标准包装饮用水生产卫生规范》）以及国家颁发的其他包装饮用水食品安全国家或行业标准向</w:t>
      </w:r>
      <w:r>
        <w:rPr>
          <w:rFonts w:hint="eastAsia" w:ascii="仿宋" w:hAnsi="仿宋" w:eastAsia="仿宋" w:cs="Times New Roman"/>
          <w:color w:val="auto"/>
          <w:kern w:val="0"/>
          <w:sz w:val="24"/>
          <w:lang w:val="en-US" w:eastAsia="zh-CN"/>
        </w:rPr>
        <w:t>甲方</w:t>
      </w:r>
      <w:r>
        <w:rPr>
          <w:rFonts w:hint="eastAsia" w:ascii="仿宋" w:hAnsi="仿宋" w:eastAsia="仿宋" w:cs="Times New Roman"/>
          <w:color w:val="auto"/>
          <w:kern w:val="0"/>
          <w:sz w:val="24"/>
        </w:rPr>
        <w:t>提供合格优质的</w:t>
      </w:r>
      <w:r>
        <w:rPr>
          <w:rFonts w:hint="eastAsia" w:ascii="仿宋" w:hAnsi="仿宋" w:eastAsia="仿宋" w:cs="Times New Roman"/>
          <w:color w:val="auto"/>
          <w:kern w:val="0"/>
          <w:sz w:val="24"/>
          <w:lang w:val="en-US" w:eastAsia="zh-CN"/>
        </w:rPr>
        <w:t>办公用饮用水产品</w:t>
      </w:r>
      <w:r>
        <w:rPr>
          <w:rFonts w:hint="eastAsia" w:ascii="仿宋" w:hAnsi="仿宋" w:eastAsia="仿宋" w:cs="宋体"/>
          <w:kern w:val="2"/>
          <w:lang w:eastAsia="zh-CN"/>
        </w:rPr>
        <w:t>；</w:t>
      </w:r>
      <w:r>
        <w:rPr>
          <w:rFonts w:hint="eastAsia" w:ascii="仿宋" w:hAnsi="仿宋" w:eastAsia="仿宋" w:cs="Tahoma"/>
          <w:color w:val="auto"/>
          <w:szCs w:val="21"/>
        </w:rPr>
        <w:t>办公用饮用水质保期不少于60天，且送达时质保有效期不少于30天。</w:t>
      </w:r>
    </w:p>
    <w:p w14:paraId="24EF2B05">
      <w:pPr>
        <w:spacing w:line="360" w:lineRule="auto"/>
        <w:ind w:firstLine="481"/>
        <w:jc w:val="both"/>
        <w:rPr>
          <w:rFonts w:ascii="仿宋" w:hAnsi="仿宋" w:eastAsia="仿宋" w:cs="宋体"/>
          <w:kern w:val="2"/>
          <w:highlight w:val="none"/>
          <w:lang w:eastAsia="zh-CN"/>
        </w:rPr>
      </w:pPr>
      <w:r>
        <w:rPr>
          <w:rFonts w:hint="eastAsia" w:ascii="仿宋" w:hAnsi="仿宋" w:eastAsia="仿宋" w:cs="宋体"/>
          <w:kern w:val="2"/>
          <w:highlight w:val="none"/>
          <w:lang w:eastAsia="zh-CN"/>
        </w:rPr>
        <w:t>2.医院常规开诊时间，</w:t>
      </w:r>
      <w:r>
        <w:rPr>
          <w:rFonts w:hint="eastAsia" w:ascii="仿宋" w:hAnsi="仿宋" w:eastAsia="仿宋" w:cs="宋体"/>
          <w:kern w:val="2"/>
          <w:highlight w:val="none"/>
          <w:lang w:val="en-US" w:eastAsia="zh-CN"/>
        </w:rPr>
        <w:t>中标人</w:t>
      </w:r>
      <w:r>
        <w:rPr>
          <w:rFonts w:hint="eastAsia" w:ascii="仿宋" w:hAnsi="仿宋" w:eastAsia="仿宋" w:cs="宋体"/>
          <w:kern w:val="2"/>
          <w:highlight w:val="none"/>
          <w:lang w:eastAsia="zh-CN"/>
        </w:rPr>
        <w:t>需进行办公用饮用水供应、配送服务，包含周一至周五、国家法定工作日以及节假日的医院规定的常规开诊时段。</w:t>
      </w:r>
      <w:r>
        <w:rPr>
          <w:rFonts w:hint="eastAsia" w:ascii="仿宋" w:hAnsi="仿宋" w:eastAsia="仿宋" w:cs="宋体"/>
          <w:kern w:val="2"/>
          <w:highlight w:val="none"/>
          <w:lang w:val="en-US" w:eastAsia="zh-CN"/>
        </w:rPr>
        <w:t>中标人</w:t>
      </w:r>
      <w:r>
        <w:rPr>
          <w:rFonts w:hint="eastAsia" w:ascii="仿宋" w:hAnsi="仿宋" w:eastAsia="仿宋" w:cs="宋体"/>
          <w:kern w:val="2"/>
          <w:highlight w:val="none"/>
          <w:lang w:eastAsia="zh-CN"/>
        </w:rPr>
        <w:t>须做好配送计划，合理调配送货时间和使用电梯，保证不影响</w:t>
      </w:r>
      <w:r>
        <w:rPr>
          <w:rFonts w:hint="eastAsia" w:ascii="仿宋" w:hAnsi="仿宋" w:eastAsia="仿宋" w:cs="宋体"/>
          <w:kern w:val="2"/>
          <w:highlight w:val="none"/>
          <w:lang w:val="en-US" w:eastAsia="zh-CN"/>
        </w:rPr>
        <w:t>采购人</w:t>
      </w:r>
      <w:r>
        <w:rPr>
          <w:rFonts w:hint="eastAsia" w:ascii="仿宋" w:hAnsi="仿宋" w:eastAsia="仿宋" w:cs="宋体"/>
          <w:kern w:val="2"/>
          <w:highlight w:val="none"/>
          <w:lang w:eastAsia="zh-CN"/>
        </w:rPr>
        <w:t>工作的正常运行并将水直接送达到各指定地点；如遇紧急情况，必须要全力配合甲方要求。</w:t>
      </w:r>
    </w:p>
    <w:p w14:paraId="713E7201">
      <w:pPr>
        <w:spacing w:line="360" w:lineRule="auto"/>
        <w:ind w:firstLine="481"/>
        <w:jc w:val="both"/>
        <w:rPr>
          <w:rFonts w:ascii="仿宋" w:hAnsi="仿宋" w:eastAsia="仿宋" w:cs="宋体"/>
          <w:kern w:val="2"/>
          <w:highlight w:val="none"/>
          <w:lang w:eastAsia="zh-CN"/>
        </w:rPr>
      </w:pPr>
      <w:r>
        <w:rPr>
          <w:rFonts w:hint="eastAsia" w:ascii="仿宋" w:hAnsi="仿宋" w:eastAsia="仿宋" w:cs="宋体"/>
          <w:kern w:val="2"/>
          <w:highlight w:val="none"/>
          <w:lang w:eastAsia="zh-CN"/>
        </w:rPr>
        <w:t>3.</w:t>
      </w:r>
      <w:r>
        <w:rPr>
          <w:rFonts w:hint="eastAsia" w:ascii="仿宋" w:hAnsi="仿宋" w:eastAsia="仿宋" w:cs="宋体"/>
          <w:kern w:val="2"/>
          <w:highlight w:val="none"/>
          <w:lang w:val="en-US" w:eastAsia="zh-CN"/>
        </w:rPr>
        <w:t>工作日中午</w:t>
      </w:r>
      <w:r>
        <w:rPr>
          <w:rFonts w:hint="eastAsia" w:ascii="仿宋" w:hAnsi="仿宋" w:eastAsia="仿宋" w:cs="宋体"/>
          <w:kern w:val="2"/>
          <w:highlight w:val="none"/>
          <w:lang w:eastAsia="zh-CN"/>
        </w:rPr>
        <w:t>1</w:t>
      </w:r>
      <w:r>
        <w:rPr>
          <w:rFonts w:hint="eastAsia" w:ascii="仿宋" w:hAnsi="仿宋" w:eastAsia="仿宋" w:cs="宋体"/>
          <w:kern w:val="2"/>
          <w:highlight w:val="none"/>
          <w:lang w:val="en-US" w:eastAsia="zh-CN"/>
        </w:rPr>
        <w:t>2</w:t>
      </w:r>
      <w:r>
        <w:rPr>
          <w:rFonts w:hint="eastAsia" w:ascii="仿宋" w:hAnsi="仿宋" w:eastAsia="仿宋" w:cs="宋体"/>
          <w:kern w:val="2"/>
          <w:highlight w:val="none"/>
          <w:lang w:eastAsia="zh-CN"/>
        </w:rPr>
        <w:t>:00前，中标人在接到医院各科室用水需求后，中标人应于当日送达对应科室办公地点；其他时间段内</w:t>
      </w:r>
      <w:r>
        <w:rPr>
          <w:rFonts w:hint="eastAsia" w:ascii="仿宋" w:hAnsi="仿宋" w:eastAsia="仿宋" w:cs="宋体"/>
          <w:kern w:val="2"/>
          <w:highlight w:val="none"/>
          <w:lang w:val="en-US" w:eastAsia="zh-CN"/>
        </w:rPr>
        <w:t>中标</w:t>
      </w:r>
      <w:r>
        <w:rPr>
          <w:rFonts w:hint="eastAsia" w:ascii="仿宋" w:hAnsi="仿宋" w:eastAsia="仿宋" w:cs="宋体"/>
          <w:kern w:val="2"/>
          <w:highlight w:val="none"/>
          <w:lang w:eastAsia="zh-CN"/>
        </w:rPr>
        <w:t>单位在接到用水需求后，中标人应</w:t>
      </w:r>
      <w:r>
        <w:rPr>
          <w:rFonts w:hint="eastAsia" w:ascii="仿宋" w:hAnsi="仿宋" w:eastAsia="仿宋" w:cs="宋体"/>
          <w:kern w:val="2"/>
          <w:highlight w:val="none"/>
          <w:lang w:val="en-US" w:eastAsia="zh-CN"/>
        </w:rPr>
        <w:t>不晚于</w:t>
      </w:r>
      <w:r>
        <w:rPr>
          <w:rFonts w:hint="eastAsia" w:ascii="仿宋" w:hAnsi="仿宋" w:eastAsia="仿宋" w:cs="宋体"/>
          <w:kern w:val="2"/>
          <w:highlight w:val="none"/>
          <w:lang w:eastAsia="zh-CN"/>
        </w:rPr>
        <w:t>次日</w:t>
      </w:r>
      <w:r>
        <w:rPr>
          <w:rFonts w:hint="eastAsia" w:ascii="仿宋" w:hAnsi="仿宋" w:eastAsia="仿宋" w:cs="宋体"/>
          <w:kern w:val="2"/>
          <w:highlight w:val="none"/>
          <w:lang w:val="en-US" w:eastAsia="zh-CN"/>
        </w:rPr>
        <w:t>完成</w:t>
      </w:r>
      <w:r>
        <w:rPr>
          <w:rFonts w:hint="eastAsia" w:ascii="仿宋" w:hAnsi="仿宋" w:eastAsia="仿宋" w:cs="宋体"/>
          <w:kern w:val="2"/>
          <w:highlight w:val="none"/>
          <w:lang w:eastAsia="zh-CN"/>
        </w:rPr>
        <w:t>送达（节假日除外）。若出现特殊情况无法及时配送，中标人须向医院用水需求科室及时说明不能按时送达情况。</w:t>
      </w:r>
    </w:p>
    <w:p w14:paraId="747A0EB0">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4.中标人在配送服务中，应保证送水数量准确，送水人员稳定，衣着整齐，统一佩戴工作牌，认真填写送水登记表，不得做出有损采购人形象的行为。</w:t>
      </w:r>
    </w:p>
    <w:p w14:paraId="363F3E90">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5.中标人为采购人免费提供合理数量的空桶给采购人周转使用，以满足采购人日常实际用量需求。任何一方终止服务时，中标人收回空桶。</w:t>
      </w:r>
    </w:p>
    <w:p w14:paraId="3177A255">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6.中标人所供水桶外观有相关货物基础信息，包括产品名称、执行标准、生产日期、保质期、生产企业的名称和地址等，水桶须符合国家卫生标准，桶表面保持洁净无垢，商标清晰、规范，水桶有外包装袋。如水桶出现质量问题，应及时更换。</w:t>
      </w:r>
    </w:p>
    <w:p w14:paraId="3DCAC2AC">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7.中标人经营或储存办公用饮用水的场所须避开化工类或带有放射性物质等的不安全环境，避开公共厕所或公共垃圾场等容易造成细菌滋生与传播等不符合《中华人民共和国食品安全法》经营许可的环境场所。</w:t>
      </w:r>
    </w:p>
    <w:p w14:paraId="203DC6FA">
      <w:pPr>
        <w:spacing w:line="360" w:lineRule="auto"/>
        <w:ind w:firstLine="481"/>
        <w:jc w:val="both"/>
        <w:rPr>
          <w:rFonts w:hint="eastAsia" w:ascii="仿宋" w:hAnsi="仿宋" w:eastAsia="仿宋" w:cs="宋体"/>
          <w:kern w:val="2"/>
          <w:lang w:eastAsia="zh-CN"/>
        </w:rPr>
      </w:pPr>
      <w:r>
        <w:rPr>
          <w:rFonts w:hint="eastAsia" w:ascii="仿宋" w:hAnsi="仿宋" w:eastAsia="仿宋" w:cs="宋体"/>
          <w:kern w:val="2"/>
          <w:lang w:eastAsia="zh-CN"/>
        </w:rPr>
        <w:t>8.中标人发现商品出现损坏（包括表面损坏），或出现水渍、串味、受潮等导致货物性质改变的，中标人须无条件退货或更换商品。</w:t>
      </w:r>
    </w:p>
    <w:p w14:paraId="344AC9CD">
      <w:pPr>
        <w:spacing w:line="360" w:lineRule="auto"/>
        <w:ind w:firstLine="481" w:firstLineChars="0"/>
        <w:jc w:val="both"/>
        <w:rPr>
          <w:rFonts w:hint="eastAsia" w:ascii="仿宋" w:hAnsi="仿宋" w:eastAsia="仿宋" w:cs="宋体"/>
          <w:b/>
          <w:bCs/>
          <w:color w:val="000000"/>
          <w:kern w:val="2"/>
          <w:sz w:val="24"/>
          <w:highlight w:val="none"/>
          <w:lang w:eastAsia="zh-CN"/>
        </w:rPr>
      </w:pPr>
      <w:r>
        <w:rPr>
          <w:rFonts w:hint="eastAsia" w:ascii="仿宋" w:hAnsi="仿宋" w:eastAsia="仿宋" w:cs="宋体"/>
          <w:b/>
          <w:bCs/>
          <w:color w:val="000000"/>
          <w:kern w:val="2"/>
          <w:sz w:val="24"/>
          <w:highlight w:val="none"/>
          <w:lang w:eastAsia="zh-CN"/>
        </w:rPr>
        <w:t>三</w:t>
      </w:r>
      <w:r>
        <w:rPr>
          <w:rFonts w:hint="eastAsia" w:ascii="仿宋" w:hAnsi="仿宋" w:eastAsia="仿宋" w:cs="宋体"/>
          <w:b/>
          <w:bCs/>
          <w:color w:val="000000"/>
          <w:kern w:val="2"/>
          <w:sz w:val="24"/>
          <w:lang w:eastAsia="zh-CN"/>
        </w:rPr>
        <w:t>、</w:t>
      </w:r>
      <w:r>
        <w:rPr>
          <w:rFonts w:hint="eastAsia" w:ascii="仿宋" w:hAnsi="仿宋" w:eastAsia="仿宋" w:cs="宋体"/>
          <w:b/>
          <w:bCs/>
          <w:color w:val="000000"/>
          <w:kern w:val="2"/>
          <w:sz w:val="24"/>
          <w:highlight w:val="none"/>
          <w:lang w:eastAsia="zh-CN"/>
        </w:rPr>
        <w:t>其他要求</w:t>
      </w:r>
    </w:p>
    <w:p w14:paraId="49E47DB0">
      <w:pPr>
        <w:spacing w:line="360" w:lineRule="auto"/>
        <w:ind w:firstLine="480" w:firstLineChars="200"/>
        <w:rPr>
          <w:rFonts w:ascii="仿宋" w:hAnsi="仿宋" w:eastAsia="仿宋" w:cs="Times New Roman"/>
          <w:color w:val="auto"/>
          <w:kern w:val="0"/>
          <w:sz w:val="24"/>
        </w:rPr>
      </w:pPr>
      <w:r>
        <w:rPr>
          <w:rFonts w:hint="eastAsia" w:ascii="仿宋" w:hAnsi="仿宋" w:eastAsia="仿宋" w:cs="Times New Roman"/>
          <w:color w:val="auto"/>
          <w:kern w:val="0"/>
          <w:sz w:val="24"/>
          <w:highlight w:val="none"/>
          <w:lang w:val="en-US" w:eastAsia="zh-CN"/>
        </w:rPr>
        <w:t>1</w:t>
      </w:r>
      <w:r>
        <w:rPr>
          <w:rFonts w:hint="eastAsia" w:ascii="仿宋" w:hAnsi="仿宋" w:eastAsia="仿宋" w:cs="Times New Roman"/>
          <w:color w:val="auto"/>
          <w:kern w:val="0"/>
          <w:sz w:val="24"/>
          <w:highlight w:val="none"/>
        </w:rPr>
        <w:t>.在服务期内，</w:t>
      </w:r>
      <w:r>
        <w:rPr>
          <w:rFonts w:hint="eastAsia" w:ascii="仿宋" w:hAnsi="仿宋" w:eastAsia="仿宋" w:cs="Times New Roman"/>
          <w:color w:val="auto"/>
          <w:kern w:val="0"/>
          <w:sz w:val="24"/>
          <w:highlight w:val="none"/>
          <w:lang w:eastAsia="zh-CN"/>
        </w:rPr>
        <w:t>中标人</w:t>
      </w:r>
      <w:r>
        <w:rPr>
          <w:rFonts w:hint="eastAsia" w:ascii="仿宋" w:hAnsi="仿宋" w:eastAsia="仿宋" w:cs="Times New Roman"/>
          <w:color w:val="auto"/>
          <w:kern w:val="0"/>
          <w:sz w:val="24"/>
          <w:highlight w:val="none"/>
        </w:rPr>
        <w:t>负责派专人为甲方所在使用的饮水机的提供日常清洗和维修服务，每台饮水机每季度提供清洗消毒服务一次，并由用水科室相关人员签名确认。</w:t>
      </w:r>
      <w:r>
        <w:rPr>
          <w:rFonts w:hint="eastAsia" w:ascii="仿宋" w:hAnsi="仿宋" w:eastAsia="仿宋" w:cs="Times New Roman"/>
          <w:color w:val="auto"/>
          <w:kern w:val="0"/>
          <w:sz w:val="24"/>
        </w:rPr>
        <w:t>遇特殊情况无法清洗的需联系甲方协调处理；特殊原因接甲方通知需增加清洗次数的，</w:t>
      </w:r>
      <w:r>
        <w:rPr>
          <w:rFonts w:hint="eastAsia" w:ascii="仿宋" w:hAnsi="仿宋" w:eastAsia="仿宋" w:cs="Times New Roman"/>
          <w:color w:val="auto"/>
          <w:kern w:val="0"/>
          <w:sz w:val="24"/>
          <w:lang w:eastAsia="zh-CN"/>
        </w:rPr>
        <w:t>中标人</w:t>
      </w:r>
      <w:r>
        <w:rPr>
          <w:rFonts w:hint="eastAsia" w:ascii="仿宋" w:hAnsi="仿宋" w:eastAsia="仿宋" w:cs="Times New Roman"/>
          <w:color w:val="auto"/>
          <w:kern w:val="0"/>
          <w:sz w:val="24"/>
        </w:rPr>
        <w:t>应按需响应，产生的费用由</w:t>
      </w:r>
      <w:r>
        <w:rPr>
          <w:rFonts w:hint="eastAsia" w:ascii="仿宋" w:hAnsi="仿宋" w:eastAsia="仿宋" w:cs="Times New Roman"/>
          <w:color w:val="auto"/>
          <w:kern w:val="0"/>
          <w:sz w:val="24"/>
          <w:lang w:eastAsia="zh-CN"/>
        </w:rPr>
        <w:t>中标人</w:t>
      </w:r>
      <w:r>
        <w:rPr>
          <w:rFonts w:hint="eastAsia" w:ascii="仿宋" w:hAnsi="仿宋" w:eastAsia="仿宋" w:cs="Times New Roman"/>
          <w:color w:val="auto"/>
          <w:kern w:val="0"/>
          <w:sz w:val="24"/>
        </w:rPr>
        <w:t>承担。</w:t>
      </w:r>
    </w:p>
    <w:p w14:paraId="3C95D09F">
      <w:pPr>
        <w:spacing w:line="360" w:lineRule="auto"/>
        <w:ind w:firstLine="480" w:firstLineChars="200"/>
        <w:jc w:val="left"/>
        <w:rPr>
          <w:rFonts w:hint="eastAsia" w:ascii="仿宋" w:hAnsi="仿宋" w:eastAsia="仿宋" w:cs="宋体"/>
          <w:kern w:val="2"/>
          <w:lang w:eastAsia="zh-CN"/>
        </w:rPr>
      </w:pPr>
      <w:r>
        <w:rPr>
          <w:rFonts w:hint="eastAsia" w:ascii="仿宋" w:hAnsi="仿宋" w:eastAsia="仿宋" w:cs="Times New Roman"/>
          <w:color w:val="auto"/>
          <w:kern w:val="0"/>
          <w:sz w:val="24"/>
          <w:lang w:val="en-US" w:eastAsia="zh-CN"/>
        </w:rPr>
        <w:t>2</w:t>
      </w:r>
      <w:r>
        <w:rPr>
          <w:rFonts w:hint="eastAsia" w:ascii="仿宋" w:hAnsi="仿宋" w:eastAsia="仿宋" w:cs="Times New Roman"/>
          <w:color w:val="auto"/>
          <w:kern w:val="0"/>
          <w:sz w:val="24"/>
        </w:rPr>
        <w:t>.在服务期内，在用饮水机如发生故障，</w:t>
      </w:r>
      <w:r>
        <w:rPr>
          <w:rFonts w:hint="eastAsia" w:ascii="仿宋" w:hAnsi="仿宋" w:eastAsia="仿宋" w:cs="Times New Roman"/>
          <w:color w:val="auto"/>
          <w:kern w:val="0"/>
          <w:sz w:val="24"/>
          <w:lang w:eastAsia="zh-CN"/>
        </w:rPr>
        <w:t>中标人</w:t>
      </w:r>
      <w:r>
        <w:rPr>
          <w:rFonts w:hint="eastAsia" w:ascii="仿宋" w:hAnsi="仿宋" w:eastAsia="仿宋" w:cs="Times New Roman"/>
          <w:color w:val="auto"/>
          <w:kern w:val="0"/>
          <w:sz w:val="24"/>
        </w:rPr>
        <w:t>须在接到通知后</w:t>
      </w:r>
      <w:r>
        <w:rPr>
          <w:rFonts w:hint="eastAsia" w:ascii="仿宋" w:hAnsi="仿宋" w:eastAsia="仿宋" w:cs="Times New Roman"/>
          <w:color w:val="auto"/>
          <w:kern w:val="0"/>
          <w:sz w:val="24"/>
          <w:lang w:val="en-US" w:eastAsia="zh-CN"/>
        </w:rPr>
        <w:t>1</w:t>
      </w:r>
      <w:r>
        <w:rPr>
          <w:rFonts w:hint="eastAsia" w:ascii="仿宋" w:hAnsi="仿宋" w:eastAsia="仿宋" w:cs="Times New Roman"/>
          <w:color w:val="auto"/>
          <w:kern w:val="0"/>
          <w:sz w:val="24"/>
        </w:rPr>
        <w:t>小时内进行现场鉴定，可维修或可解决的故障需马上进行维修，</w:t>
      </w:r>
      <w:r>
        <w:rPr>
          <w:rFonts w:hint="eastAsia" w:ascii="仿宋" w:hAnsi="仿宋" w:eastAsia="仿宋" w:cs="Times New Roman"/>
          <w:color w:val="auto"/>
          <w:kern w:val="0"/>
          <w:sz w:val="24"/>
          <w:lang w:val="en-US" w:eastAsia="zh-CN"/>
        </w:rPr>
        <w:t>4小时内</w:t>
      </w:r>
      <w:r>
        <w:rPr>
          <w:rFonts w:hint="eastAsia" w:ascii="仿宋" w:hAnsi="仿宋" w:eastAsia="仿宋" w:cs="Times New Roman"/>
          <w:color w:val="auto"/>
          <w:kern w:val="0"/>
          <w:sz w:val="24"/>
        </w:rPr>
        <w:t>无法维修或解决故障的，需提供临时周转饮水机供科室使用，并负责</w:t>
      </w:r>
      <w:r>
        <w:rPr>
          <w:rFonts w:hint="eastAsia" w:ascii="仿宋" w:hAnsi="仿宋" w:eastAsia="仿宋" w:cs="Times New Roman"/>
          <w:color w:val="auto"/>
          <w:kern w:val="0"/>
          <w:sz w:val="24"/>
          <w:lang w:val="en-US" w:eastAsia="zh-CN"/>
        </w:rPr>
        <w:t>对故障饮水机</w:t>
      </w:r>
      <w:r>
        <w:rPr>
          <w:rFonts w:hint="eastAsia" w:ascii="仿宋" w:hAnsi="仿宋" w:eastAsia="仿宋" w:cs="Times New Roman"/>
          <w:color w:val="auto"/>
          <w:kern w:val="0"/>
          <w:sz w:val="24"/>
        </w:rPr>
        <w:t>进行维修，期间产生的一切费用由</w:t>
      </w:r>
      <w:r>
        <w:rPr>
          <w:rFonts w:hint="eastAsia" w:ascii="仿宋" w:hAnsi="仿宋" w:eastAsia="仿宋" w:cs="Times New Roman"/>
          <w:color w:val="auto"/>
          <w:kern w:val="0"/>
          <w:sz w:val="24"/>
          <w:lang w:eastAsia="zh-CN"/>
        </w:rPr>
        <w:t>中标人</w:t>
      </w:r>
      <w:r>
        <w:rPr>
          <w:rFonts w:hint="eastAsia" w:ascii="仿宋" w:hAnsi="仿宋" w:eastAsia="仿宋" w:cs="Times New Roman"/>
          <w:color w:val="auto"/>
          <w:kern w:val="0"/>
          <w:sz w:val="24"/>
        </w:rPr>
        <w:t>负责。</w:t>
      </w:r>
    </w:p>
    <w:p w14:paraId="4E93694A">
      <w:pPr>
        <w:spacing w:line="360" w:lineRule="auto"/>
        <w:ind w:firstLine="481"/>
        <w:jc w:val="both"/>
        <w:rPr>
          <w:rFonts w:ascii="仿宋" w:hAnsi="仿宋" w:eastAsia="仿宋" w:cs="宋体"/>
          <w:b/>
          <w:bCs/>
          <w:kern w:val="2"/>
          <w:lang w:eastAsia="zh-CN"/>
        </w:rPr>
      </w:pPr>
      <w:r>
        <w:rPr>
          <w:rFonts w:hint="eastAsia" w:ascii="仿宋" w:hAnsi="仿宋" w:eastAsia="仿宋" w:cs="宋体"/>
          <w:b/>
          <w:bCs/>
          <w:kern w:val="2"/>
          <w:lang w:val="en-US" w:eastAsia="zh-CN"/>
        </w:rPr>
        <w:t>三</w:t>
      </w:r>
      <w:r>
        <w:rPr>
          <w:rFonts w:hint="eastAsia" w:ascii="仿宋" w:hAnsi="仿宋" w:eastAsia="仿宋" w:cs="宋体"/>
          <w:b/>
          <w:bCs/>
          <w:kern w:val="2"/>
          <w:lang w:eastAsia="zh-CN"/>
        </w:rPr>
        <w:t>、报价要求</w:t>
      </w:r>
    </w:p>
    <w:p w14:paraId="55D2CF02">
      <w:pPr>
        <w:spacing w:line="360" w:lineRule="auto"/>
        <w:ind w:firstLine="481"/>
        <w:jc w:val="both"/>
        <w:rPr>
          <w:rFonts w:hint="eastAsia" w:ascii="仿宋" w:hAnsi="仿宋" w:eastAsia="仿宋" w:cs="宋体"/>
          <w:kern w:val="2"/>
          <w:lang w:eastAsia="zh-CN"/>
        </w:rPr>
      </w:pPr>
      <w:r>
        <w:rPr>
          <w:rFonts w:hint="eastAsia" w:ascii="仿宋" w:hAnsi="仿宋" w:eastAsia="仿宋" w:cs="宋体"/>
          <w:kern w:val="2"/>
          <w:lang w:eastAsia="zh-CN"/>
        </w:rPr>
        <w:t>1.本项目实行双限价（单价限价与总价限价），单价报价不能超过《采购需求书》</w:t>
      </w:r>
      <w:r>
        <w:rPr>
          <w:rFonts w:hint="eastAsia" w:ascii="仿宋" w:hAnsi="仿宋" w:eastAsia="仿宋" w:cs="宋体"/>
          <w:kern w:val="2"/>
          <w:lang w:val="en-US" w:eastAsia="zh-CN"/>
        </w:rPr>
        <w:t>第一项</w:t>
      </w:r>
      <w:r>
        <w:rPr>
          <w:rFonts w:hint="eastAsia" w:ascii="仿宋" w:hAnsi="仿宋" w:eastAsia="仿宋" w:cs="宋体"/>
          <w:kern w:val="2"/>
          <w:lang w:eastAsia="zh-CN"/>
        </w:rPr>
        <w:t>中的单价限价，任何漏项漏报都视为无效报价。本项目采购采用单价报价形式，并按《采购需求书》中所投产品的投标报价合计作为本项目的投标总报价（即每项投标产品按《采购需求书》中提供的预计</w:t>
      </w:r>
      <w:r>
        <w:rPr>
          <w:rFonts w:hint="eastAsia" w:ascii="仿宋" w:hAnsi="仿宋" w:eastAsia="仿宋" w:cs="宋体"/>
          <w:kern w:val="2"/>
          <w:lang w:val="en-US" w:eastAsia="zh-CN"/>
        </w:rPr>
        <w:t>采购</w:t>
      </w:r>
      <w:r>
        <w:rPr>
          <w:rFonts w:hint="eastAsia" w:ascii="仿宋" w:hAnsi="仿宋" w:eastAsia="仿宋" w:cs="宋体"/>
          <w:kern w:val="2"/>
          <w:lang w:eastAsia="zh-CN"/>
        </w:rPr>
        <w:t>量×投标单价＝投标报价），</w:t>
      </w:r>
      <w:r>
        <w:rPr>
          <w:rFonts w:hint="eastAsia" w:ascii="仿宋" w:hAnsi="仿宋" w:eastAsia="仿宋" w:cs="宋体"/>
          <w:kern w:val="2"/>
          <w:lang w:val="en-US" w:eastAsia="zh-CN"/>
        </w:rPr>
        <w:t>详见附件《报价文件》。</w:t>
      </w:r>
      <w:r>
        <w:rPr>
          <w:rFonts w:hint="eastAsia" w:ascii="仿宋" w:hAnsi="仿宋" w:eastAsia="仿宋" w:cs="宋体"/>
          <w:kern w:val="2"/>
          <w:lang w:eastAsia="zh-CN"/>
        </w:rPr>
        <w:t>本项目的价格评审以投标总报价为依据，金额单位为人民币元。投标人若中标，投标单价不可改变，配送时按采购人需求的实际品种数量配送及办理合同支付手续。</w:t>
      </w:r>
    </w:p>
    <w:p w14:paraId="4002A074">
      <w:pPr>
        <w:spacing w:line="360" w:lineRule="auto"/>
        <w:ind w:firstLine="481"/>
        <w:jc w:val="both"/>
        <w:rPr>
          <w:rFonts w:hint="eastAsia" w:ascii="仿宋" w:hAnsi="仿宋" w:eastAsia="仿宋" w:cs="宋体"/>
          <w:kern w:val="2"/>
          <w:lang w:eastAsia="zh-CN"/>
        </w:rPr>
      </w:pPr>
      <w:r>
        <w:rPr>
          <w:rFonts w:hint="eastAsia" w:ascii="仿宋" w:hAnsi="仿宋" w:eastAsia="仿宋" w:cs="宋体"/>
          <w:kern w:val="2"/>
          <w:lang w:eastAsia="zh-CN"/>
        </w:rPr>
        <w:t>2.项目预算仅为采购人预估的金额，采购人无法预计也无法保证向中标人确定采购的数量，具体以合同期内实际采购数量为准。</w:t>
      </w:r>
    </w:p>
    <w:p w14:paraId="6C8B93F9">
      <w:pPr>
        <w:spacing w:line="360" w:lineRule="auto"/>
        <w:ind w:firstLine="481"/>
        <w:jc w:val="both"/>
        <w:rPr>
          <w:rFonts w:hint="eastAsia" w:ascii="仿宋" w:hAnsi="仿宋" w:eastAsia="仿宋" w:cs="宋体"/>
          <w:kern w:val="2"/>
          <w:lang w:eastAsia="zh-CN"/>
        </w:rPr>
      </w:pPr>
      <w:r>
        <w:rPr>
          <w:rFonts w:hint="eastAsia" w:ascii="仿宋" w:hAnsi="仿宋" w:eastAsia="仿宋" w:cs="宋体"/>
          <w:kern w:val="2"/>
          <w:lang w:eastAsia="zh-CN"/>
        </w:rPr>
        <w:t>3.投标人报价总价仅用于</w:t>
      </w:r>
      <w:r>
        <w:rPr>
          <w:rFonts w:hint="eastAsia" w:ascii="仿宋" w:hAnsi="仿宋" w:eastAsia="仿宋" w:cs="宋体"/>
          <w:kern w:val="2"/>
          <w:lang w:val="en-US" w:eastAsia="zh-CN"/>
        </w:rPr>
        <w:t>项目</w:t>
      </w:r>
      <w:r>
        <w:rPr>
          <w:rFonts w:hint="eastAsia" w:ascii="仿宋" w:hAnsi="仿宋" w:eastAsia="仿宋" w:cs="宋体"/>
          <w:kern w:val="2"/>
          <w:lang w:eastAsia="zh-CN"/>
        </w:rPr>
        <w:t>评审，该项目据实支付，最终支付金额以中标单价×实际采购数量（经采购人与中标人双方复核确认的）计算确认。</w:t>
      </w:r>
    </w:p>
    <w:p w14:paraId="63DE5749">
      <w:pPr>
        <w:spacing w:line="360" w:lineRule="auto"/>
        <w:ind w:firstLine="481"/>
        <w:jc w:val="both"/>
        <w:rPr>
          <w:rFonts w:hint="eastAsia" w:ascii="仿宋" w:hAnsi="仿宋" w:eastAsia="仿宋" w:cs="宋体"/>
          <w:b/>
          <w:bCs/>
          <w:kern w:val="2"/>
          <w:lang w:eastAsia="zh-CN"/>
        </w:rPr>
      </w:pPr>
      <w:r>
        <w:rPr>
          <w:rFonts w:hint="eastAsia" w:ascii="仿宋" w:hAnsi="仿宋" w:eastAsia="仿宋" w:cs="宋体"/>
          <w:b w:val="0"/>
          <w:bCs w:val="0"/>
          <w:kern w:val="2"/>
          <w:lang w:eastAsia="zh-CN"/>
        </w:rPr>
        <w:t>4.项目据实结算，结算金额不得超过合同金额，合同金额以预算金额为准，中标单位送货前需复核累积送货金额是否超出合同金额，若超出则中标单位需提醒采购人职能部门进行核减，否则超出部分合同金额部分的费用由中标单位承担。</w:t>
      </w:r>
    </w:p>
    <w:p w14:paraId="788B5749">
      <w:pPr>
        <w:spacing w:line="360" w:lineRule="auto"/>
        <w:ind w:firstLine="481"/>
        <w:jc w:val="both"/>
        <w:rPr>
          <w:rFonts w:hint="eastAsia" w:ascii="仿宋" w:hAnsi="仿宋" w:eastAsia="仿宋" w:cs="宋体"/>
          <w:b/>
          <w:bCs/>
          <w:kern w:val="2"/>
          <w:lang w:eastAsia="zh-CN"/>
        </w:rPr>
      </w:pPr>
      <w:r>
        <w:rPr>
          <w:rFonts w:hint="eastAsia" w:ascii="仿宋" w:hAnsi="仿宋" w:eastAsia="仿宋" w:cs="宋体"/>
          <w:b/>
          <w:bCs/>
          <w:kern w:val="2"/>
          <w:lang w:val="en-US" w:eastAsia="zh-CN"/>
        </w:rPr>
        <w:t>四</w:t>
      </w:r>
      <w:r>
        <w:rPr>
          <w:rFonts w:hint="eastAsia" w:ascii="仿宋" w:hAnsi="仿宋" w:eastAsia="仿宋" w:cs="宋体"/>
          <w:b/>
          <w:bCs/>
          <w:kern w:val="2"/>
          <w:lang w:eastAsia="zh-CN"/>
        </w:rPr>
        <w:t>、</w:t>
      </w:r>
      <w:r>
        <w:rPr>
          <w:rFonts w:hint="eastAsia" w:ascii="仿宋" w:hAnsi="仿宋" w:eastAsia="仿宋" w:cs="宋体"/>
          <w:b/>
          <w:bCs/>
          <w:kern w:val="2"/>
          <w:lang w:val="en-US" w:eastAsia="zh-CN"/>
        </w:rPr>
        <w:t>项目</w:t>
      </w:r>
      <w:r>
        <w:rPr>
          <w:rFonts w:hint="eastAsia" w:ascii="仿宋" w:hAnsi="仿宋" w:eastAsia="仿宋" w:cs="宋体"/>
          <w:b/>
          <w:bCs/>
          <w:kern w:val="2"/>
          <w:lang w:eastAsia="zh-CN"/>
        </w:rPr>
        <w:t>时间范围</w:t>
      </w:r>
    </w:p>
    <w:p w14:paraId="5E121EE5">
      <w:pPr>
        <w:spacing w:line="360" w:lineRule="auto"/>
        <w:ind w:firstLine="481"/>
        <w:jc w:val="both"/>
        <w:rPr>
          <w:rFonts w:hint="eastAsia" w:ascii="仿宋" w:hAnsi="仿宋" w:eastAsia="仿宋" w:cs="宋体"/>
          <w:b w:val="0"/>
          <w:bCs w:val="0"/>
          <w:kern w:val="2"/>
          <w:lang w:eastAsia="zh-CN"/>
        </w:rPr>
      </w:pPr>
      <w:r>
        <w:rPr>
          <w:rFonts w:hint="eastAsia" w:ascii="仿宋" w:hAnsi="仿宋" w:eastAsia="仿宋" w:cs="宋体"/>
          <w:b w:val="0"/>
          <w:bCs w:val="0"/>
          <w:kern w:val="2"/>
          <w:lang w:val="en-US" w:eastAsia="zh-CN"/>
        </w:rPr>
        <w:t>项目时间</w:t>
      </w:r>
      <w:r>
        <w:rPr>
          <w:rFonts w:hint="eastAsia" w:ascii="仿宋" w:hAnsi="仿宋" w:eastAsia="仿宋" w:cs="宋体"/>
          <w:b w:val="0"/>
          <w:bCs w:val="0"/>
          <w:kern w:val="2"/>
          <w:lang w:eastAsia="zh-CN"/>
        </w:rPr>
        <w:t>为</w:t>
      </w:r>
      <w:r>
        <w:rPr>
          <w:rFonts w:hint="eastAsia" w:ascii="仿宋" w:hAnsi="仿宋" w:eastAsia="仿宋" w:cs="宋体"/>
          <w:b w:val="0"/>
          <w:bCs w:val="0"/>
          <w:kern w:val="2"/>
          <w:lang w:val="en-US" w:eastAsia="zh-CN"/>
        </w:rPr>
        <w:t>12个月（采购人通知正式进场时间开始起算）或不超过合同金额。</w:t>
      </w:r>
    </w:p>
    <w:p w14:paraId="51534645">
      <w:pPr>
        <w:spacing w:line="360" w:lineRule="auto"/>
        <w:ind w:firstLine="481"/>
        <w:jc w:val="both"/>
        <w:rPr>
          <w:rFonts w:ascii="仿宋" w:hAnsi="仿宋" w:eastAsia="仿宋" w:cs="宋体"/>
          <w:b/>
          <w:bCs/>
          <w:kern w:val="2"/>
          <w:lang w:eastAsia="zh-CN"/>
        </w:rPr>
      </w:pPr>
      <w:r>
        <w:rPr>
          <w:rFonts w:hint="eastAsia" w:ascii="仿宋" w:hAnsi="仿宋" w:eastAsia="仿宋" w:cs="宋体"/>
          <w:b/>
          <w:bCs/>
          <w:kern w:val="2"/>
          <w:lang w:val="en-US" w:eastAsia="zh-CN"/>
        </w:rPr>
        <w:t>五</w:t>
      </w:r>
      <w:r>
        <w:rPr>
          <w:rFonts w:hint="eastAsia" w:ascii="仿宋" w:hAnsi="仿宋" w:eastAsia="仿宋" w:cs="宋体"/>
          <w:b/>
          <w:bCs/>
          <w:kern w:val="2"/>
          <w:lang w:eastAsia="zh-CN"/>
        </w:rPr>
        <w:t>、违约责任</w:t>
      </w:r>
    </w:p>
    <w:p w14:paraId="0CBC746A">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1.如中标人因不可抗力或自身原因无法按合同要求的时间完成用水的供应及配送服务，应提前跟采购人沟通，另行协商配送时间。除不可抗力因素外，如因中标人自身原因无法按时配送，每月每误期【10】次，中标人应向采购人支付【500元】的违约金，以此累计；逾期支付违约金超过30个工作日的，采购人有权解除本合同，由此给采购人造成损失的中标人应承担赔偿。</w:t>
      </w:r>
    </w:p>
    <w:p w14:paraId="33551F2C">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2.中标人在任何情况下都不得</w:t>
      </w:r>
      <w:r>
        <w:rPr>
          <w:rFonts w:hint="eastAsia" w:ascii="仿宋" w:hAnsi="仿宋" w:eastAsia="仿宋" w:cs="宋体"/>
          <w:kern w:val="2"/>
          <w:lang w:val="en-US" w:eastAsia="zh-CN"/>
        </w:rPr>
        <w:t>将本项目</w:t>
      </w:r>
      <w:r>
        <w:rPr>
          <w:rFonts w:hint="eastAsia" w:ascii="仿宋" w:hAnsi="仿宋" w:eastAsia="仿宋" w:cs="宋体"/>
          <w:kern w:val="2"/>
          <w:lang w:eastAsia="zh-CN"/>
        </w:rPr>
        <w:t>全部或部分转让其应履行的合同义务，否则，采购人有权解除本合同，中标人应于收到采购人发出的解除通知书后按合同总额的【5】%向采购人支付违约金，并对采购人因此遭受的一切损失进行赔偿。</w:t>
      </w:r>
    </w:p>
    <w:p w14:paraId="057B058F">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3.</w:t>
      </w:r>
      <w:r>
        <w:rPr>
          <w:rFonts w:hint="eastAsia" w:ascii="仿宋" w:hAnsi="仿宋" w:eastAsia="仿宋" w:cs="宋体"/>
          <w:kern w:val="2"/>
          <w:lang w:val="en-US" w:eastAsia="zh-CN"/>
        </w:rPr>
        <w:t>本项目中标人所产生的各项</w:t>
      </w:r>
      <w:r>
        <w:rPr>
          <w:rFonts w:hint="eastAsia" w:ascii="仿宋" w:hAnsi="仿宋" w:eastAsia="仿宋" w:cs="宋体"/>
          <w:kern w:val="2"/>
          <w:lang w:eastAsia="zh-CN"/>
        </w:rPr>
        <w:t>违约金，采购人均有权直接从合同款项中扣除，违约金不足以补偿采购人损失的，中标人应另行赔偿。</w:t>
      </w:r>
    </w:p>
    <w:p w14:paraId="35D67874">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4.除上述违约情形外，中标人有其他不履行或不适当履行合同义务的情形，经采购人【2】次书面催促仍未改正的，采购人有权单方解除合同，中标人应按合同总价的【5】%向采购人支付违约金；如违约金不足以补偿采购人因此遭受的损失，由中标人继续进行赔偿。</w:t>
      </w:r>
    </w:p>
    <w:p w14:paraId="46220852">
      <w:pPr>
        <w:spacing w:line="360" w:lineRule="auto"/>
        <w:ind w:firstLine="481"/>
        <w:jc w:val="both"/>
        <w:rPr>
          <w:rFonts w:ascii="仿宋" w:hAnsi="仿宋" w:eastAsia="仿宋" w:cs="宋体"/>
          <w:kern w:val="2"/>
          <w:lang w:eastAsia="zh-CN"/>
        </w:rPr>
      </w:pPr>
      <w:r>
        <w:rPr>
          <w:rFonts w:hint="eastAsia" w:ascii="仿宋" w:hAnsi="仿宋" w:eastAsia="仿宋" w:cs="宋体"/>
          <w:kern w:val="2"/>
          <w:lang w:eastAsia="zh-CN"/>
        </w:rPr>
        <w:t>5.</w:t>
      </w:r>
      <w:r>
        <w:rPr>
          <w:rFonts w:hint="eastAsia" w:ascii="仿宋" w:hAnsi="仿宋" w:eastAsia="仿宋" w:cs="宋体"/>
          <w:kern w:val="2"/>
          <w:lang w:val="en-US" w:eastAsia="zh-CN"/>
        </w:rPr>
        <w:t>本项目</w:t>
      </w:r>
      <w:r>
        <w:rPr>
          <w:rFonts w:hint="eastAsia" w:ascii="仿宋" w:hAnsi="仿宋" w:eastAsia="仿宋" w:cs="宋体"/>
          <w:kern w:val="2"/>
          <w:lang w:eastAsia="zh-CN"/>
        </w:rPr>
        <w:t>所称之损失包括直接经济损失、合同履行后可以获得的利益、预期利益、名誉损失及实现权益的一切费用（包括但不限于：调查费、评估费、鉴定费、公证费、诉讼费、交通费、律师费、保全费、保险费等相关费用）。</w:t>
      </w:r>
    </w:p>
    <w:p w14:paraId="01BAE9F5">
      <w:pPr>
        <w:spacing w:line="360" w:lineRule="auto"/>
        <w:ind w:firstLine="481"/>
        <w:jc w:val="both"/>
        <w:rPr>
          <w:rFonts w:ascii="仿宋" w:hAnsi="仿宋" w:eastAsia="仿宋"/>
          <w:lang w:eastAsia="zh-CN"/>
        </w:rPr>
      </w:pPr>
      <w:r>
        <w:rPr>
          <w:rFonts w:hint="eastAsia" w:ascii="仿宋" w:hAnsi="仿宋" w:eastAsia="仿宋" w:cs="宋体"/>
          <w:kern w:val="2"/>
          <w:lang w:eastAsia="zh-CN"/>
        </w:rPr>
        <w:t>6</w:t>
      </w:r>
      <w:r>
        <w:rPr>
          <w:rFonts w:ascii="仿宋" w:hAnsi="仿宋" w:eastAsia="仿宋" w:cs="宋体"/>
          <w:kern w:val="2"/>
          <w:lang w:eastAsia="zh-CN"/>
        </w:rPr>
        <w:t>.</w:t>
      </w:r>
      <w:r>
        <w:rPr>
          <w:rFonts w:hint="eastAsia" w:ascii="仿宋" w:hAnsi="仿宋" w:eastAsia="仿宋" w:cs="宋体"/>
          <w:kern w:val="2"/>
          <w:lang w:eastAsia="zh-CN"/>
        </w:rPr>
        <w:t>中标人如有违反保密义务、知识产权约定或廉洁条款义务等约定，或中标人被列入商业贿赂不良记录、存在商业贿赂等情况，采购人有权单方面解除合同并没收中标人全部履约保证金，中标人须承担损害赔偿责任并向采购人支付合同暂定总价</w:t>
      </w:r>
      <w:r>
        <w:rPr>
          <w:rFonts w:ascii="仿宋" w:hAnsi="仿宋" w:eastAsia="仿宋" w:cs="宋体"/>
          <w:kern w:val="2"/>
          <w:lang w:eastAsia="zh-CN"/>
        </w:rPr>
        <w:t>30%的</w:t>
      </w:r>
      <w:r>
        <w:rPr>
          <w:rFonts w:hint="eastAsia" w:ascii="仿宋" w:hAnsi="仿宋" w:eastAsia="仿宋" w:cs="宋体"/>
          <w:kern w:val="2"/>
          <w:lang w:eastAsia="zh-CN"/>
        </w:rPr>
        <w:t>违约金，并由中标人对采购人所遭受的一切损失承担赔偿责任。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E9"/>
    <w:rsid w:val="002553E9"/>
    <w:rsid w:val="002D7223"/>
    <w:rsid w:val="004E5122"/>
    <w:rsid w:val="007C7D71"/>
    <w:rsid w:val="00EB33DD"/>
    <w:rsid w:val="00F0790C"/>
    <w:rsid w:val="00F855C8"/>
    <w:rsid w:val="01900C44"/>
    <w:rsid w:val="083B64F8"/>
    <w:rsid w:val="24332B0D"/>
    <w:rsid w:val="281B09A5"/>
    <w:rsid w:val="28FD55F7"/>
    <w:rsid w:val="2B634913"/>
    <w:rsid w:val="2BCE0004"/>
    <w:rsid w:val="30F26A8C"/>
    <w:rsid w:val="3B980910"/>
    <w:rsid w:val="562F0E81"/>
    <w:rsid w:val="59796F2B"/>
    <w:rsid w:val="692476B5"/>
    <w:rsid w:val="6C81078F"/>
    <w:rsid w:val="77B6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pPr>
    <w:rPr>
      <w:rFonts w:ascii="Microsoft JhengHei Light" w:hAnsi="Microsoft JhengHei Light" w:eastAsia="Microsoft JhengHei Light" w:cs="Times New Roman"/>
      <w:color w:val="000000"/>
      <w:kern w:val="0"/>
      <w:sz w:val="24"/>
      <w:szCs w:val="24"/>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spacing w:line="360" w:lineRule="auto"/>
    </w:pPr>
    <w:rPr>
      <w:rFonts w:ascii="Times New Roman" w:hAnsi="Times New Roman" w:eastAsia="宋体"/>
      <w:szCs w:val="20"/>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0"/>
    <w:rPr>
      <w:rFonts w:ascii="Times New Roman" w:hAnsi="Times New Roman" w:eastAsia="宋体" w:cs="Times New Roman"/>
      <w:color w:val="000000"/>
      <w:kern w:val="0"/>
      <w:sz w:val="24"/>
      <w:szCs w:val="20"/>
      <w:lang w:eastAsia="en-US"/>
    </w:rPr>
  </w:style>
  <w:style w:type="character" w:customStyle="1" w:styleId="9">
    <w:name w:val="页眉 字符"/>
    <w:basedOn w:val="7"/>
    <w:link w:val="4"/>
    <w:qFormat/>
    <w:uiPriority w:val="99"/>
    <w:rPr>
      <w:rFonts w:ascii="Microsoft JhengHei Light" w:hAnsi="Microsoft JhengHei Light" w:eastAsia="Microsoft JhengHei Light" w:cs="Times New Roman"/>
      <w:color w:val="000000"/>
      <w:kern w:val="0"/>
      <w:sz w:val="18"/>
      <w:szCs w:val="18"/>
      <w:lang w:eastAsia="en-US"/>
    </w:rPr>
  </w:style>
  <w:style w:type="character" w:customStyle="1" w:styleId="10">
    <w:name w:val="页脚 字符"/>
    <w:basedOn w:val="7"/>
    <w:link w:val="3"/>
    <w:qFormat/>
    <w:uiPriority w:val="99"/>
    <w:rPr>
      <w:rFonts w:ascii="Microsoft JhengHei Light" w:hAnsi="Microsoft JhengHei Light" w:eastAsia="Microsoft JhengHei Light" w:cs="Times New Roman"/>
      <w:color w:val="000000"/>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2446</Words>
  <Characters>2522</Characters>
  <Lines>1</Lines>
  <Paragraphs>1</Paragraphs>
  <TotalTime>7</TotalTime>
  <ScaleCrop>false</ScaleCrop>
  <LinksUpToDate>false</LinksUpToDate>
  <CharactersWithSpaces>2526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2025-01-09T13:41:00Z</dcterms:created>
  <dc:creator>苏俊沛</dc:creator>
  <cp:lastModifiedBy>qq</cp:lastModifiedBy>
  <dcterms:modified xsi:type="dcterms:W3CDTF">2025-05-14T07:34:17Z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eyJoZGlkIjoiNTNhZDdmZjUwZjEyOTUyYzE3MjMzMmVhMTQwMGI2NWMiLCJ1c2VySWQiOiIxMDI5ODA1NTM2In0=</vt:lpwstr>
  </property>
  <property fmtid="{D5CDD505-2E9C-101B-9397-08002B2CF9AE}" pid="3" name="KSOProductBuildVer">
    <vt:lpwstr>2052-12.1.0.20784</vt:lpwstr>
  </property>
  <property fmtid="{D5CDD505-2E9C-101B-9397-08002B2CF9AE}" pid="4" name="ICV">
    <vt:lpwstr>9031DA54F737434E8BF4FA2CCEE35DBE_13</vt:lpwstr>
  </property>
</Properties>
</file>