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F632">
      <w:pPr>
        <w:pStyle w:val="2"/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H</w:t>
      </w:r>
      <w:r>
        <w:rPr>
          <w:color w:val="auto"/>
        </w:rPr>
        <w:t>PV</w:t>
      </w:r>
      <w:r>
        <w:rPr>
          <w:rFonts w:hint="eastAsia"/>
          <w:color w:val="auto"/>
        </w:rPr>
        <w:t xml:space="preserve">定量检测仪 </w:t>
      </w:r>
      <w:r>
        <w:rPr>
          <w:color w:val="auto"/>
        </w:rPr>
        <w:t>1</w:t>
      </w:r>
      <w:r>
        <w:rPr>
          <w:rFonts w:hint="eastAsia"/>
          <w:color w:val="auto"/>
        </w:rPr>
        <w:t>台</w:t>
      </w:r>
    </w:p>
    <w:p w14:paraId="2ED65BCD">
      <w:pPr>
        <w:spacing w:line="360" w:lineRule="auto"/>
        <w:ind w:left="2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★提供</w:t>
      </w:r>
      <w:r>
        <w:rPr>
          <w:rFonts w:ascii="宋体" w:hAnsi="宋体"/>
          <w:color w:val="auto"/>
          <w:sz w:val="28"/>
          <w:szCs w:val="28"/>
        </w:rPr>
        <w:t>HPV定量检测仪主机</w:t>
      </w:r>
      <w:r>
        <w:rPr>
          <w:rFonts w:hint="eastAsia" w:ascii="宋体" w:hAnsi="宋体"/>
          <w:color w:val="auto"/>
          <w:sz w:val="28"/>
          <w:szCs w:val="28"/>
        </w:rPr>
        <w:t>《中华人民共和国医疗器械注册证》</w:t>
      </w:r>
    </w:p>
    <w:p w14:paraId="2CF91BC6">
      <w:pPr>
        <w:numPr>
          <w:ilvl w:val="0"/>
          <w:numId w:val="2"/>
        </w:numPr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所使用的试剂参数及性能指标：</w:t>
      </w:r>
    </w:p>
    <w:p w14:paraId="0FF09829">
      <w:pPr>
        <w:numPr>
          <w:ilvl w:val="1"/>
          <w:numId w:val="2"/>
        </w:numPr>
        <w:ind w:left="756" w:hanging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采用全长8000个碱基对的RNA混合鸡尾酒探针；</w:t>
      </w:r>
    </w:p>
    <w:p w14:paraId="1E729CF6">
      <w:pPr>
        <w:numPr>
          <w:ilvl w:val="1"/>
          <w:numId w:val="2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采用基因杂交和化学发光信号放大法，无需酶催化的基因扩增；</w:t>
      </w:r>
    </w:p>
    <w:p w14:paraId="5511BFDC">
      <w:pPr>
        <w:numPr>
          <w:ilvl w:val="1"/>
          <w:numId w:val="2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要求试验操作简单，无需DNA提取，无需内质控，整个试验过程时间≤5个小时，不需要专门独立的基因扩增实验室，实验重复性高达100%；</w:t>
      </w:r>
    </w:p>
    <w:p w14:paraId="140A78D6">
      <w:pPr>
        <w:numPr>
          <w:ilvl w:val="1"/>
          <w:numId w:val="2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经全球多中心的大量临床数据验证的最佳临床敏感性（CIN2+检出率96%-100%）和特异性，阴性预测值为99.9%-100%；</w:t>
      </w:r>
    </w:p>
    <w:p w14:paraId="0C13200B">
      <w:pPr>
        <w:numPr>
          <w:ilvl w:val="1"/>
          <w:numId w:val="2"/>
        </w:numPr>
        <w:ind w:left="756" w:hanging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采用STM样本保存液，常温下可保存子宫颈脱落细胞样本≥2周；</w:t>
      </w:r>
    </w:p>
    <w:p w14:paraId="5AF13107">
      <w:pPr>
        <w:numPr>
          <w:ilvl w:val="1"/>
          <w:numId w:val="2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试剂保质期≥12个月；</w:t>
      </w:r>
    </w:p>
    <w:p w14:paraId="235C6FC1">
      <w:pPr>
        <w:numPr>
          <w:ilvl w:val="0"/>
          <w:numId w:val="2"/>
        </w:numPr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设备参数：</w:t>
      </w:r>
    </w:p>
    <w:p w14:paraId="631FEFF8">
      <w:pPr>
        <w:numPr>
          <w:ilvl w:val="0"/>
          <w:numId w:val="3"/>
        </w:numPr>
        <w:rPr>
          <w:b/>
          <w:bCs/>
          <w:vanish/>
          <w:color w:val="auto"/>
        </w:rPr>
      </w:pPr>
    </w:p>
    <w:p w14:paraId="343BBED7">
      <w:pPr>
        <w:numPr>
          <w:ilvl w:val="0"/>
          <w:numId w:val="3"/>
        </w:numPr>
        <w:rPr>
          <w:b/>
          <w:bCs/>
          <w:vanish/>
          <w:color w:val="auto"/>
        </w:rPr>
      </w:pPr>
    </w:p>
    <w:p w14:paraId="11FBB832">
      <w:pPr>
        <w:numPr>
          <w:ilvl w:val="0"/>
          <w:numId w:val="3"/>
        </w:numPr>
        <w:rPr>
          <w:b/>
          <w:bCs/>
          <w:vanish/>
          <w:color w:val="auto"/>
        </w:rPr>
      </w:pPr>
    </w:p>
    <w:p w14:paraId="172A0DF6">
      <w:pPr>
        <w:numPr>
          <w:ilvl w:val="1"/>
          <w:numId w:val="3"/>
        </w:numPr>
        <w:rPr>
          <w:b/>
          <w:bCs/>
          <w:vanish/>
          <w:color w:val="auto"/>
        </w:rPr>
      </w:pPr>
    </w:p>
    <w:p w14:paraId="7483B0A7">
      <w:pPr>
        <w:numPr>
          <w:ilvl w:val="2"/>
          <w:numId w:val="3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功能：用于判读和分析检测结果；</w:t>
      </w:r>
    </w:p>
    <w:p w14:paraId="3782AD9E">
      <w:pPr>
        <w:numPr>
          <w:ilvl w:val="2"/>
          <w:numId w:val="3"/>
        </w:numPr>
        <w:ind w:left="756" w:hanging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采用杂交捕获二代技术</w:t>
      </w:r>
    </w:p>
    <w:p w14:paraId="76ED8287">
      <w:pPr>
        <w:numPr>
          <w:ilvl w:val="2"/>
          <w:numId w:val="3"/>
        </w:numPr>
        <w:ind w:left="567" w:hangingChars="270"/>
        <w:rPr>
          <w:bCs/>
          <w:color w:val="auto"/>
        </w:rPr>
      </w:pPr>
      <w:r>
        <w:rPr>
          <w:bCs/>
          <w:color w:val="auto"/>
        </w:rPr>
        <w:t>检测世界卫生组织（WHO）国际癌症研究机构（IARC）最新（迄今）公布的≥13 种高危型HPV DNA：包括但不仅限于16、18、31、33、35、39、45、51、52、56、58、59 和68 型</w:t>
      </w:r>
    </w:p>
    <w:p w14:paraId="60F89445">
      <w:pPr>
        <w:numPr>
          <w:ilvl w:val="2"/>
          <w:numId w:val="3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产品性能结构及组成：由96微孔板和转载架入口、金属摭板、微板装载架、指示灯、光圈、光电倍增管、RSS232接口等组成；</w:t>
      </w:r>
    </w:p>
    <w:p w14:paraId="04A562B8">
      <w:pPr>
        <w:numPr>
          <w:ilvl w:val="2"/>
          <w:numId w:val="3"/>
        </w:numPr>
        <w:ind w:left="567" w:hangingChars="270"/>
        <w:rPr>
          <w:bCs/>
          <w:color w:val="auto"/>
        </w:rPr>
      </w:pPr>
      <w:r>
        <w:rPr>
          <w:rFonts w:hint="eastAsia"/>
          <w:bCs/>
          <w:color w:val="auto"/>
        </w:rPr>
        <w:t>；</w:t>
      </w:r>
    </w:p>
    <w:tbl>
      <w:tblPr>
        <w:tblStyle w:val="7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760"/>
      </w:tblGrid>
      <w:tr w14:paraId="7B19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BBC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条件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3C78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参数</w:t>
            </w:r>
          </w:p>
        </w:tc>
      </w:tr>
      <w:tr w14:paraId="5B40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19D0">
            <w:pPr>
              <w:rPr>
                <w:color w:val="auto"/>
              </w:rPr>
            </w:pPr>
            <w:r>
              <w:rPr>
                <w:color w:val="auto"/>
              </w:rPr>
              <w:t>尺寸（</w:t>
            </w:r>
            <w:r>
              <w:rPr>
                <w:rFonts w:hint="eastAsia"/>
                <w:color w:val="auto"/>
              </w:rPr>
              <w:t>高</w:t>
            </w:r>
            <w:r>
              <w:rPr>
                <w:color w:val="auto"/>
              </w:rPr>
              <w:t xml:space="preserve"> 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宽</w:t>
            </w:r>
            <w:r>
              <w:rPr>
                <w:color w:val="auto"/>
              </w:rPr>
              <w:t xml:space="preserve"> 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深</w:t>
            </w:r>
            <w:r>
              <w:rPr>
                <w:color w:val="auto"/>
              </w:rPr>
              <w:t>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865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</w:rPr>
              <w:t xml:space="preserve">265 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495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510mm </w:t>
            </w:r>
          </w:p>
        </w:tc>
      </w:tr>
      <w:tr w14:paraId="2B629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AADD">
            <w:pPr>
              <w:rPr>
                <w:color w:val="auto"/>
              </w:rPr>
            </w:pPr>
            <w:r>
              <w:rPr>
                <w:color w:val="auto"/>
              </w:rPr>
              <w:t>重量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C36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</w:rPr>
              <w:t xml:space="preserve">10kg </w:t>
            </w:r>
          </w:p>
        </w:tc>
      </w:tr>
      <w:tr w14:paraId="4478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52B">
            <w:pPr>
              <w:rPr>
                <w:color w:val="auto"/>
              </w:rPr>
            </w:pPr>
            <w:r>
              <w:rPr>
                <w:color w:val="auto"/>
              </w:rPr>
              <w:t>功耗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A074">
            <w:pPr>
              <w:rPr>
                <w:color w:val="auto"/>
              </w:rPr>
            </w:pPr>
            <w:r>
              <w:rPr>
                <w:color w:val="auto"/>
              </w:rPr>
              <w:t xml:space="preserve">100-240V 交流电，50-60Hz, 12W (36W 峰值时) </w:t>
            </w:r>
          </w:p>
        </w:tc>
      </w:tr>
      <w:tr w14:paraId="588B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C1B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线</w:t>
            </w:r>
            <w:r>
              <w:rPr>
                <w:color w:val="auto"/>
              </w:rPr>
              <w:t>频率变化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691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范围≤-</w:t>
            </w:r>
            <w:r>
              <w:rPr>
                <w:color w:val="auto"/>
              </w:rPr>
              <w:t xml:space="preserve"> 3Hz </w:t>
            </w:r>
            <w:r>
              <w:rPr>
                <w:rFonts w:hint="eastAsia"/>
                <w:color w:val="auto"/>
              </w:rPr>
              <w:t>至3</w:t>
            </w:r>
            <w:r>
              <w:rPr>
                <w:color w:val="auto"/>
              </w:rPr>
              <w:t>Hz</w:t>
            </w:r>
          </w:p>
        </w:tc>
      </w:tr>
      <w:tr w14:paraId="73A2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0E81">
            <w:pPr>
              <w:rPr>
                <w:color w:val="auto"/>
              </w:rPr>
            </w:pPr>
            <w:r>
              <w:rPr>
                <w:color w:val="auto"/>
              </w:rPr>
              <w:t>光谱敏感度</w:t>
            </w:r>
            <w:r>
              <w:rPr>
                <w:rFonts w:hint="eastAsia"/>
                <w:color w:val="auto"/>
              </w:rPr>
              <w:t>范围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46342">
            <w:pPr>
              <w:rPr>
                <w:color w:val="auto"/>
              </w:rPr>
            </w:pPr>
            <w:r>
              <w:rPr>
                <w:color w:val="auto"/>
              </w:rPr>
              <w:t xml:space="preserve">350nm - 650nm </w:t>
            </w:r>
          </w:p>
        </w:tc>
      </w:tr>
      <w:tr w14:paraId="2E72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F490">
            <w:pPr>
              <w:rPr>
                <w:color w:val="auto"/>
              </w:rPr>
            </w:pPr>
            <w:r>
              <w:rPr>
                <w:color w:val="auto"/>
              </w:rPr>
              <w:t>动态范围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3A7D1">
            <w:pPr>
              <w:rPr>
                <w:color w:val="auto"/>
              </w:rPr>
            </w:pPr>
            <w:r>
              <w:rPr>
                <w:color w:val="auto"/>
              </w:rPr>
              <w:t xml:space="preserve">10RLU - 5 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10</w:t>
            </w:r>
            <w:r>
              <w:rPr>
                <w:color w:val="auto"/>
                <w:vertAlign w:val="superscript"/>
              </w:rPr>
              <w:t>6</w:t>
            </w:r>
            <w:r>
              <w:rPr>
                <w:color w:val="auto"/>
              </w:rPr>
              <w:t xml:space="preserve">RLU </w:t>
            </w:r>
          </w:p>
        </w:tc>
      </w:tr>
      <w:tr w14:paraId="6276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8D6A">
            <w:pPr>
              <w:rPr>
                <w:color w:val="auto"/>
              </w:rPr>
            </w:pPr>
            <w:r>
              <w:rPr>
                <w:color w:val="auto"/>
              </w:rPr>
              <w:t>串扰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11A8F">
            <w:pPr>
              <w:rPr>
                <w:color w:val="auto"/>
              </w:rPr>
            </w:pPr>
            <w:r>
              <w:rPr>
                <w:color w:val="auto"/>
              </w:rPr>
              <w:t xml:space="preserve">小于 4 </w:t>
            </w:r>
            <w:r>
              <w:rPr>
                <w:rFonts w:hint="cs"/>
                <w:b/>
                <w:color w:val="auto"/>
              </w:rPr>
              <w:t>×</w:t>
            </w:r>
            <w:r>
              <w:rPr>
                <w:color w:val="auto"/>
              </w:rPr>
              <w:t xml:space="preserve"> 10</w:t>
            </w:r>
            <w:r>
              <w:rPr>
                <w:color w:val="auto"/>
                <w:vertAlign w:val="superscript"/>
              </w:rPr>
              <w:t>-5</w:t>
            </w:r>
            <w:r>
              <w:rPr>
                <w:color w:val="auto"/>
              </w:rPr>
              <w:t xml:space="preserve">RLU </w:t>
            </w:r>
          </w:p>
        </w:tc>
      </w:tr>
    </w:tbl>
    <w:p w14:paraId="66969AD9">
      <w:pPr>
        <w:numPr>
          <w:ilvl w:val="2"/>
          <w:numId w:val="3"/>
        </w:numPr>
        <w:ind w:left="567" w:leftChars="0" w:hanging="567" w:hangingChars="27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冷台：冷台面积（长宽）：≥270*250mm，功率：≥170W，温度范围：-2℃ ~ -15℃，结霜时间：≥5min，达到设定温度时间：≤15min；</w:t>
      </w:r>
    </w:p>
    <w:p w14:paraId="4481C3FB">
      <w:pPr>
        <w:numPr>
          <w:ilvl w:val="2"/>
          <w:numId w:val="3"/>
        </w:numPr>
        <w:ind w:left="567" w:leftChars="0" w:hanging="567" w:hangingChars="27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摊片机</w:t>
      </w:r>
      <w:r>
        <w:rPr>
          <w:rFonts w:hint="eastAsia"/>
          <w:color w:val="auto"/>
          <w:lang w:val="en-US" w:eastAsia="zh-CN"/>
        </w:rPr>
        <w:t>：水浴槽面积：≥220mm*145mm，烤片台面积：≥248mm*107mm，额定功率：260W（漂片-200W；烤片-60W），烤片温度：室温 ~ 99℃，烤片准确度：温度设定 ±2℃，漂片温度：室温 ~ 99℃，漂片准确度：温度设定 ±2℃，达到设定温度时间：&lt;30min</w:t>
      </w:r>
      <w:bookmarkStart w:id="0" w:name="_GoBack"/>
      <w:bookmarkEnd w:id="0"/>
    </w:p>
    <w:p w14:paraId="117F08C6">
      <w:pPr>
        <w:numPr>
          <w:ilvl w:val="1"/>
          <w:numId w:val="2"/>
        </w:numPr>
        <w:ind w:left="567" w:hangingChars="27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软件</w:t>
      </w:r>
    </w:p>
    <w:p w14:paraId="11277D65">
      <w:pPr>
        <w:numPr>
          <w:ilvl w:val="1"/>
          <w:numId w:val="3"/>
        </w:numPr>
        <w:rPr>
          <w:bCs/>
          <w:vanish/>
          <w:color w:val="auto"/>
        </w:rPr>
      </w:pPr>
    </w:p>
    <w:p w14:paraId="62C05E4C">
      <w:pPr>
        <w:numPr>
          <w:ilvl w:val="1"/>
          <w:numId w:val="3"/>
        </w:numPr>
        <w:rPr>
          <w:bCs/>
          <w:vanish/>
          <w:color w:val="auto"/>
        </w:rPr>
      </w:pPr>
    </w:p>
    <w:p w14:paraId="1211AFE9">
      <w:pPr>
        <w:numPr>
          <w:ilvl w:val="2"/>
          <w:numId w:val="3"/>
        </w:numPr>
        <w:rPr>
          <w:bCs/>
          <w:color w:val="auto"/>
        </w:rPr>
      </w:pPr>
      <w:r>
        <w:rPr>
          <w:rFonts w:hint="eastAsia"/>
          <w:bCs/>
          <w:color w:val="auto"/>
        </w:rPr>
        <w:t>系统软件；</w:t>
      </w:r>
    </w:p>
    <w:p w14:paraId="67D6EDD8">
      <w:pPr>
        <w:numPr>
          <w:ilvl w:val="2"/>
          <w:numId w:val="3"/>
        </w:numPr>
        <w:rPr>
          <w:bCs/>
          <w:color w:val="auto"/>
        </w:rPr>
      </w:pPr>
      <w:r>
        <w:rPr>
          <w:rFonts w:hint="eastAsia"/>
          <w:bCs/>
          <w:color w:val="auto"/>
        </w:rPr>
        <w:t>中文报告软件；</w:t>
      </w:r>
    </w:p>
    <w:p w14:paraId="3A28FE75">
      <w:pPr>
        <w:numPr>
          <w:ilvl w:val="0"/>
          <w:numId w:val="4"/>
        </w:numPr>
        <w:rPr>
          <w:color w:val="auto"/>
        </w:rPr>
      </w:pPr>
      <w:r>
        <w:rPr>
          <w:rFonts w:hint="eastAsia"/>
          <w:color w:val="auto"/>
        </w:rPr>
        <w:t>实时传送仪器操作软件数据；</w:t>
      </w:r>
    </w:p>
    <w:p w14:paraId="450DC71F">
      <w:pPr>
        <w:numPr>
          <w:ilvl w:val="0"/>
          <w:numId w:val="4"/>
        </w:numPr>
        <w:rPr>
          <w:color w:val="auto"/>
        </w:rPr>
      </w:pPr>
      <w:r>
        <w:rPr>
          <w:rFonts w:hint="eastAsia"/>
          <w:color w:val="auto"/>
        </w:rPr>
        <w:t>输入打印中文检测报告；</w:t>
      </w:r>
    </w:p>
    <w:p w14:paraId="6797D50F">
      <w:pPr>
        <w:numPr>
          <w:ilvl w:val="0"/>
          <w:numId w:val="4"/>
        </w:numPr>
        <w:rPr>
          <w:color w:val="auto"/>
        </w:rPr>
      </w:pPr>
      <w:r>
        <w:rPr>
          <w:rFonts w:hint="eastAsia"/>
          <w:color w:val="auto"/>
        </w:rPr>
        <w:t>患者数据记录与统计；</w:t>
      </w:r>
    </w:p>
    <w:p w14:paraId="5A2F3B32">
      <w:pPr>
        <w:numPr>
          <w:ilvl w:val="0"/>
          <w:numId w:val="4"/>
        </w:numPr>
        <w:rPr>
          <w:color w:val="auto"/>
        </w:rPr>
      </w:pPr>
      <w:r>
        <w:rPr>
          <w:rFonts w:hint="eastAsia"/>
          <w:color w:val="auto"/>
        </w:rPr>
        <w:t>数据分项查询；</w:t>
      </w:r>
    </w:p>
    <w:p w14:paraId="33395505">
      <w:pPr>
        <w:numPr>
          <w:ilvl w:val="0"/>
          <w:numId w:val="4"/>
        </w:numPr>
        <w:rPr>
          <w:color w:val="auto"/>
        </w:rPr>
      </w:pPr>
      <w:r>
        <w:rPr>
          <w:rFonts w:hint="eastAsia"/>
          <w:color w:val="auto"/>
        </w:rPr>
        <w:t>可与客户局域网联接。</w:t>
      </w:r>
    </w:p>
    <w:p w14:paraId="26BB7615">
      <w:pPr>
        <w:rPr>
          <w:color w:val="auto"/>
        </w:rPr>
      </w:pPr>
    </w:p>
    <w:p w14:paraId="12F3E73A">
      <w:pPr>
        <w:rPr>
          <w:color w:val="auto"/>
        </w:rPr>
      </w:pPr>
      <w:r>
        <w:rPr>
          <w:rFonts w:hint="eastAsia"/>
          <w:color w:val="auto"/>
        </w:rPr>
        <w:t>设备配置清单：</w:t>
      </w:r>
    </w:p>
    <w:p w14:paraId="15C4EBF3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基因杂交信号放大仪（H</w:t>
      </w:r>
      <w:r>
        <w:rPr>
          <w:b/>
          <w:bCs/>
          <w:color w:val="auto"/>
        </w:rPr>
        <w:t>PV</w:t>
      </w:r>
      <w:r>
        <w:rPr>
          <w:rFonts w:hint="eastAsia"/>
          <w:b/>
          <w:bCs/>
          <w:color w:val="auto"/>
        </w:rPr>
        <w:t xml:space="preserve">定量检测仪主机） </w:t>
      </w:r>
      <w:r>
        <w:rPr>
          <w:b/>
          <w:bCs/>
          <w:color w:val="auto"/>
        </w:rPr>
        <w:t>1</w:t>
      </w:r>
      <w:r>
        <w:rPr>
          <w:rFonts w:hint="eastAsia"/>
          <w:b/>
          <w:bCs/>
          <w:color w:val="auto"/>
        </w:rPr>
        <w:t>台；</w:t>
      </w:r>
    </w:p>
    <w:p w14:paraId="756434EF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旋转混合器 1台；</w:t>
      </w:r>
    </w:p>
    <w:p w14:paraId="2B505EBE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 xml:space="preserve">自动恒温加热器 </w:t>
      </w:r>
      <w:r>
        <w:rPr>
          <w:b/>
          <w:bCs/>
          <w:color w:val="auto"/>
        </w:rPr>
        <w:t>1</w:t>
      </w:r>
      <w:r>
        <w:rPr>
          <w:rFonts w:hint="eastAsia"/>
          <w:b/>
          <w:bCs/>
          <w:color w:val="auto"/>
        </w:rPr>
        <w:t>台</w:t>
      </w:r>
    </w:p>
    <w:p w14:paraId="6E96E4D2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系统软件和中文报告软件各1套</w:t>
      </w:r>
    </w:p>
    <w:p w14:paraId="7ABA435D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图文工作站1套及图文输出设备1套</w:t>
      </w:r>
    </w:p>
    <w:p w14:paraId="2BDED109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冷台4台</w:t>
      </w:r>
    </w:p>
    <w:p w14:paraId="65E1775B">
      <w:pPr>
        <w:pStyle w:val="10"/>
        <w:numPr>
          <w:ilvl w:val="0"/>
          <w:numId w:val="5"/>
        </w:numPr>
        <w:ind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摊片机4台</w:t>
      </w:r>
    </w:p>
    <w:p w14:paraId="35D55E9E">
      <w:pPr>
        <w:pStyle w:val="10"/>
        <w:widowControl w:val="0"/>
        <w:numPr>
          <w:ilvl w:val="0"/>
          <w:numId w:val="0"/>
        </w:numPr>
        <w:jc w:val="both"/>
        <w:rPr>
          <w:b/>
          <w:bCs/>
          <w:color w:val="auto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整机保修≥3年</w:t>
      </w: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7733C"/>
    <w:multiLevelType w:val="multilevel"/>
    <w:tmpl w:val="0387733C"/>
    <w:lvl w:ilvl="0" w:tentative="0">
      <w:start w:val="1"/>
      <w:numFmt w:val="japaneseCounting"/>
      <w:lvlText w:val="%1．"/>
      <w:lvlJc w:val="left"/>
      <w:pPr>
        <w:ind w:left="7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0" w:hanging="440"/>
      </w:pPr>
    </w:lvl>
    <w:lvl w:ilvl="2" w:tentative="0">
      <w:start w:val="1"/>
      <w:numFmt w:val="lowerRoman"/>
      <w:lvlText w:val="%3."/>
      <w:lvlJc w:val="right"/>
      <w:pPr>
        <w:ind w:left="1340" w:hanging="440"/>
      </w:pPr>
    </w:lvl>
    <w:lvl w:ilvl="3" w:tentative="0">
      <w:start w:val="1"/>
      <w:numFmt w:val="decimal"/>
      <w:lvlText w:val="%4."/>
      <w:lvlJc w:val="left"/>
      <w:pPr>
        <w:ind w:left="1780" w:hanging="440"/>
      </w:pPr>
    </w:lvl>
    <w:lvl w:ilvl="4" w:tentative="0">
      <w:start w:val="1"/>
      <w:numFmt w:val="lowerLetter"/>
      <w:lvlText w:val="%5)"/>
      <w:lvlJc w:val="left"/>
      <w:pPr>
        <w:ind w:left="2220" w:hanging="440"/>
      </w:pPr>
    </w:lvl>
    <w:lvl w:ilvl="5" w:tentative="0">
      <w:start w:val="1"/>
      <w:numFmt w:val="lowerRoman"/>
      <w:lvlText w:val="%6."/>
      <w:lvlJc w:val="right"/>
      <w:pPr>
        <w:ind w:left="2660" w:hanging="440"/>
      </w:pPr>
    </w:lvl>
    <w:lvl w:ilvl="6" w:tentative="0">
      <w:start w:val="1"/>
      <w:numFmt w:val="decimal"/>
      <w:lvlText w:val="%7."/>
      <w:lvlJc w:val="left"/>
      <w:pPr>
        <w:ind w:left="3100" w:hanging="440"/>
      </w:pPr>
    </w:lvl>
    <w:lvl w:ilvl="7" w:tentative="0">
      <w:start w:val="1"/>
      <w:numFmt w:val="lowerLetter"/>
      <w:lvlText w:val="%8)"/>
      <w:lvlJc w:val="left"/>
      <w:pPr>
        <w:ind w:left="3540" w:hanging="440"/>
      </w:pPr>
    </w:lvl>
    <w:lvl w:ilvl="8" w:tentative="0">
      <w:start w:val="1"/>
      <w:numFmt w:val="lowerRoman"/>
      <w:lvlText w:val="%9."/>
      <w:lvlJc w:val="right"/>
      <w:pPr>
        <w:ind w:left="3980" w:hanging="440"/>
      </w:pPr>
    </w:lvl>
  </w:abstractNum>
  <w:abstractNum w:abstractNumId="1">
    <w:nsid w:val="0C3C7980"/>
    <w:multiLevelType w:val="multilevel"/>
    <w:tmpl w:val="0C3C798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F02792C"/>
    <w:multiLevelType w:val="multilevel"/>
    <w:tmpl w:val="0F02792C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0F1493C"/>
    <w:multiLevelType w:val="multilevel"/>
    <w:tmpl w:val="30F149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84C1BF3"/>
    <w:multiLevelType w:val="multilevel"/>
    <w:tmpl w:val="584C1BF3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72"/>
    <w:rsid w:val="00047407"/>
    <w:rsid w:val="000F79CD"/>
    <w:rsid w:val="0010685A"/>
    <w:rsid w:val="00176F82"/>
    <w:rsid w:val="002F5554"/>
    <w:rsid w:val="003066E5"/>
    <w:rsid w:val="003B3081"/>
    <w:rsid w:val="003D08E5"/>
    <w:rsid w:val="004A6FE2"/>
    <w:rsid w:val="004C3925"/>
    <w:rsid w:val="004C4C42"/>
    <w:rsid w:val="0051527E"/>
    <w:rsid w:val="005D69E0"/>
    <w:rsid w:val="00612771"/>
    <w:rsid w:val="007A7410"/>
    <w:rsid w:val="007C112C"/>
    <w:rsid w:val="0086649C"/>
    <w:rsid w:val="00992204"/>
    <w:rsid w:val="00AD67CF"/>
    <w:rsid w:val="00B20A7A"/>
    <w:rsid w:val="00BA2783"/>
    <w:rsid w:val="00D238A0"/>
    <w:rsid w:val="00E74E72"/>
    <w:rsid w:val="205E24F0"/>
    <w:rsid w:val="2F522B25"/>
    <w:rsid w:val="3F7171A7"/>
    <w:rsid w:val="5C644E7F"/>
    <w:rsid w:val="5D9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2">
    <w:name w:val="标题 3 字符"/>
    <w:basedOn w:val="8"/>
    <w:link w:val="3"/>
    <w:qFormat/>
    <w:uiPriority w:val="9"/>
    <w:rPr>
      <w:b/>
      <w:bCs/>
      <w:sz w:val="24"/>
      <w:szCs w:val="32"/>
    </w:rPr>
  </w:style>
  <w:style w:type="character" w:customStyle="1" w:styleId="13">
    <w:name w:val="标题 4 字符"/>
    <w:basedOn w:val="8"/>
    <w:link w:val="4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5CFC-3F6A-4275-86A9-F4CFEB68D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751</Characters>
  <Lines>5</Lines>
  <Paragraphs>1</Paragraphs>
  <TotalTime>3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2023-04-04T06:23:00Z</dcterms:created>
  <dc:creator>pengfan</dc:creator>
  <cp:lastModifiedBy>胡伟坡</cp:lastModifiedBy>
  <dcterms:modified xsi:type="dcterms:W3CDTF">2025-12-04T07:18:15Z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B62B0F1C71234403875A4681264A1206_12</vt:lpwstr>
  </property>
</Properties>
</file>