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E7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不间断电源系统升级改造工程监理服务</w:t>
      </w:r>
      <w:r>
        <w:rPr>
          <w:rFonts w:hint="eastAsia" w:ascii="仿宋" w:hAnsi="仿宋" w:eastAsia="仿宋"/>
          <w:lang w:eastAsia="zh-CN"/>
        </w:rPr>
        <w:t>需求</w:t>
      </w:r>
    </w:p>
    <w:p w14:paraId="68AA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</w:p>
    <w:p w14:paraId="56B253C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Calibri"/>
          <w:color w:val="333333"/>
          <w:kern w:val="0"/>
          <w:sz w:val="24"/>
          <w:szCs w:val="24"/>
          <w:lang w:eastAsia="zh-CN"/>
        </w:rPr>
      </w:pPr>
      <w: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项目名称：不间断电源系统升级改造工程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监理服务</w:t>
      </w:r>
    </w:p>
    <w:p w14:paraId="791F9A68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工程项目概况：中山大学附属第一医院越秀院区部分UPS主机以及电池存在不同程度的老旧、损坏以及功能落后等问题；项目计划更新改造63台UPS主机和778个电池，内容包含UPS主机以及电池的更换、加设不间断电源系统的外置维修旁路、加设不间断电源系统的在线监测系统等。本项目采用工程总承包的方式（含施工图设计、竣工图编制和施工、运维）</w:t>
      </w:r>
      <w:r>
        <w:rPr>
          <w:rFonts w:hint="eastAsia" w:ascii="仿宋" w:hAnsi="仿宋" w:eastAsia="仿宋"/>
          <w:sz w:val="24"/>
          <w:szCs w:val="24"/>
        </w:rPr>
        <w:t>，合同</w:t>
      </w:r>
      <w:r>
        <w:rPr>
          <w:rFonts w:hint="eastAsia" w:ascii="仿宋" w:hAnsi="仿宋" w:eastAsia="仿宋"/>
          <w:sz w:val="24"/>
          <w:szCs w:val="24"/>
          <w:lang w:eastAsia="zh-CN"/>
        </w:rPr>
        <w:t>工程施工</w:t>
      </w:r>
      <w:r>
        <w:rPr>
          <w:rFonts w:hint="eastAsia" w:ascii="仿宋" w:hAnsi="仿宋" w:eastAsia="仿宋"/>
          <w:sz w:val="24"/>
          <w:szCs w:val="24"/>
        </w:rPr>
        <w:t>工期</w:t>
      </w:r>
      <w:r>
        <w:rPr>
          <w:rFonts w:hint="eastAsia" w:ascii="仿宋" w:hAnsi="仿宋" w:eastAsia="仿宋"/>
          <w:sz w:val="24"/>
          <w:szCs w:val="24"/>
          <w:lang w:eastAsia="zh-CN"/>
        </w:rPr>
        <w:t>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365</w:t>
      </w:r>
      <w:r>
        <w:rPr>
          <w:rFonts w:hint="eastAsia" w:ascii="仿宋" w:hAnsi="仿宋" w:eastAsia="仿宋"/>
          <w:sz w:val="24"/>
          <w:szCs w:val="24"/>
        </w:rPr>
        <w:t>天。</w:t>
      </w:r>
    </w:p>
    <w:p w14:paraId="6C09DA6C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三、监理服务预算金额：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14.2万元</w:t>
      </w:r>
    </w:p>
    <w:p w14:paraId="525C4F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、监理工作要求及人员配备要求：</w:t>
      </w:r>
    </w:p>
    <w:p w14:paraId="1A74D8D6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本次监理项目工作要求：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包括但不限于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负责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对不间断电源升级改造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工程的准备阶段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（施工图审核、方案清单审核、现场勘察等）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、实施阶段、验收结算阶段的安全、质量、进度、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资金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控制；监督、管理项目合同的履行；协调医院和项目实施有关各方的工作关系，以及配合项目移交等规范要求的监理工作。中选单位应按国家及行业规范要求开展监理工作，做好现场监理、图纸会审、资料档案整理、材料进场审核、施工质量检查、现场安全检查、造价咨询、签证确认、组织验收等全过程各项监理工作。</w:t>
      </w:r>
    </w:p>
    <w:p w14:paraId="55377C20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监理单位人员配置要求如下：</w:t>
      </w:r>
    </w:p>
    <w:tbl>
      <w:tblPr>
        <w:tblStyle w:val="10"/>
        <w:tblW w:w="9820" w:type="dxa"/>
        <w:tblInd w:w="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193"/>
        <w:gridCol w:w="3632"/>
        <w:gridCol w:w="750"/>
        <w:gridCol w:w="1607"/>
      </w:tblGrid>
      <w:tr w14:paraId="5D63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1B9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275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ascii="仿宋" w:hAnsi="仿宋" w:eastAsia="仿宋" w:cs="等线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34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21"/>
                <w:szCs w:val="21"/>
              </w:rPr>
              <w:t>职称和资格要求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FCE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3E7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ascii="仿宋" w:hAnsi="仿宋" w:eastAsia="仿宋" w:cs="等线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等线"/>
                <w:b/>
                <w:bCs/>
                <w:color w:val="000000"/>
                <w:kern w:val="0"/>
                <w:sz w:val="21"/>
                <w:szCs w:val="21"/>
              </w:rPr>
              <w:t>否要求驻场</w:t>
            </w:r>
          </w:p>
        </w:tc>
      </w:tr>
      <w:tr w14:paraId="6D897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AA2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F95D6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监理工程师/项目负责人</w:t>
            </w: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8161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注册监理工程师，监理负责人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98B6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8CB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14:paraId="0608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CBE5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2468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监理工程师/监理员</w:t>
            </w: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CEF4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注册监理工程师/监理上岗证</w:t>
            </w: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62B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FE18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4A57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813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77A55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造价工程师</w:t>
            </w: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0F708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注册监理工程师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5C7D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4F1E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14:paraId="4756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E203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A8C0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资料员</w:t>
            </w: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F3E91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2CF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225C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 w:val="21"/>
                <w:szCs w:val="21"/>
              </w:rPr>
              <w:t>否</w:t>
            </w:r>
          </w:p>
        </w:tc>
      </w:tr>
    </w:tbl>
    <w:p w14:paraId="767780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服务单位资质要求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：</w:t>
      </w:r>
    </w:p>
    <w:p w14:paraId="6F52D1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/>
          <w:snapToGrid w:val="0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_GB2312"/>
          <w:sz w:val="24"/>
          <w:szCs w:val="24"/>
        </w:rPr>
        <w:t>具有获得主管部门颁发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_GB2312"/>
          <w:sz w:val="24"/>
          <w:szCs w:val="24"/>
        </w:rPr>
        <w:t>有效期内的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工程监理资质证书，其中机电安装</w:t>
      </w:r>
      <w:r>
        <w:rPr>
          <w:rFonts w:hint="eastAsia" w:ascii="仿宋" w:hAnsi="仿宋" w:eastAsia="仿宋" w:cs="仿宋_GB2312"/>
          <w:sz w:val="24"/>
          <w:szCs w:val="24"/>
        </w:rPr>
        <w:t>工程监理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以及房屋建筑工程监理资质须具备</w:t>
      </w:r>
      <w:r>
        <w:rPr>
          <w:rFonts w:hint="eastAsia" w:ascii="仿宋" w:hAnsi="仿宋" w:eastAsia="仿宋" w:cs="仿宋_GB2312"/>
          <w:sz w:val="24"/>
          <w:szCs w:val="24"/>
        </w:rPr>
        <w:t>乙级资质或以上。</w:t>
      </w:r>
      <w:bookmarkStart w:id="0" w:name="_GoBack"/>
      <w:bookmarkEnd w:id="0"/>
    </w:p>
    <w:p w14:paraId="0E163097">
      <w:pPr>
        <w:pStyle w:val="23"/>
        <w:keepNext w:val="0"/>
        <w:keepLines w:val="0"/>
        <w:pageBreakBefore w:val="0"/>
        <w:widowControl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六、服务周期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 xml:space="preserve">： </w:t>
      </w:r>
    </w:p>
    <w:p w14:paraId="4BDB7837">
      <w:pPr>
        <w:pStyle w:val="23"/>
        <w:keepNext w:val="0"/>
        <w:keepLines w:val="0"/>
        <w:pageBreakBefore w:val="0"/>
        <w:widowControl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合同工程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施工部分的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工期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365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日历天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（含订货周期）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，以实际开工日为准。监理服务应覆盖工程施工全过程。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E"/>
    <w:rsid w:val="00022926"/>
    <w:rsid w:val="000271AB"/>
    <w:rsid w:val="000321A0"/>
    <w:rsid w:val="00054FD8"/>
    <w:rsid w:val="000B0A2B"/>
    <w:rsid w:val="000D3828"/>
    <w:rsid w:val="00176D0F"/>
    <w:rsid w:val="001A2251"/>
    <w:rsid w:val="001A2C4C"/>
    <w:rsid w:val="001A4BFB"/>
    <w:rsid w:val="00222F49"/>
    <w:rsid w:val="00242FBD"/>
    <w:rsid w:val="00244CC9"/>
    <w:rsid w:val="002615A2"/>
    <w:rsid w:val="002C4F3E"/>
    <w:rsid w:val="002F6A61"/>
    <w:rsid w:val="00360D20"/>
    <w:rsid w:val="00364005"/>
    <w:rsid w:val="00387D5E"/>
    <w:rsid w:val="00395E87"/>
    <w:rsid w:val="003A0BB8"/>
    <w:rsid w:val="003B6F7F"/>
    <w:rsid w:val="003E68EE"/>
    <w:rsid w:val="004710FA"/>
    <w:rsid w:val="00496458"/>
    <w:rsid w:val="005D2F7C"/>
    <w:rsid w:val="00627EB1"/>
    <w:rsid w:val="00636415"/>
    <w:rsid w:val="0065305A"/>
    <w:rsid w:val="00693035"/>
    <w:rsid w:val="006939A6"/>
    <w:rsid w:val="006D6884"/>
    <w:rsid w:val="006F0ADB"/>
    <w:rsid w:val="006F469F"/>
    <w:rsid w:val="00700698"/>
    <w:rsid w:val="00715F82"/>
    <w:rsid w:val="00795709"/>
    <w:rsid w:val="007D66DE"/>
    <w:rsid w:val="0080159A"/>
    <w:rsid w:val="008C27C8"/>
    <w:rsid w:val="008E240D"/>
    <w:rsid w:val="00920E46"/>
    <w:rsid w:val="00932962"/>
    <w:rsid w:val="00946E6D"/>
    <w:rsid w:val="0095262E"/>
    <w:rsid w:val="009735FB"/>
    <w:rsid w:val="009A2C00"/>
    <w:rsid w:val="009D3711"/>
    <w:rsid w:val="009E1E82"/>
    <w:rsid w:val="00A16462"/>
    <w:rsid w:val="00A16CC8"/>
    <w:rsid w:val="00A31D84"/>
    <w:rsid w:val="00A8002E"/>
    <w:rsid w:val="00AD1C9B"/>
    <w:rsid w:val="00B447B2"/>
    <w:rsid w:val="00B772A9"/>
    <w:rsid w:val="00BA045E"/>
    <w:rsid w:val="00BE142A"/>
    <w:rsid w:val="00C00C18"/>
    <w:rsid w:val="00C0101C"/>
    <w:rsid w:val="00CD7C76"/>
    <w:rsid w:val="00D410C1"/>
    <w:rsid w:val="00D66189"/>
    <w:rsid w:val="00D7774B"/>
    <w:rsid w:val="00D80959"/>
    <w:rsid w:val="00D90A35"/>
    <w:rsid w:val="00DE5116"/>
    <w:rsid w:val="00DF1977"/>
    <w:rsid w:val="00ED5DD9"/>
    <w:rsid w:val="00F2495C"/>
    <w:rsid w:val="00F60248"/>
    <w:rsid w:val="00F60E1A"/>
    <w:rsid w:val="00F72CFB"/>
    <w:rsid w:val="00FB7AFF"/>
    <w:rsid w:val="00FC669A"/>
    <w:rsid w:val="00FD4D9B"/>
    <w:rsid w:val="05612196"/>
    <w:rsid w:val="0EEE1B1A"/>
    <w:rsid w:val="0F4165A6"/>
    <w:rsid w:val="14E8498B"/>
    <w:rsid w:val="16B312C8"/>
    <w:rsid w:val="186F3F2B"/>
    <w:rsid w:val="2E611CED"/>
    <w:rsid w:val="310B4DAD"/>
    <w:rsid w:val="376120D5"/>
    <w:rsid w:val="45841B0D"/>
    <w:rsid w:val="569C0B56"/>
    <w:rsid w:val="78191BAF"/>
    <w:rsid w:val="7CAB3AC4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content-right_8zs40"/>
    <w:qFormat/>
    <w:uiPriority w:val="0"/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正文_3"/>
    <w:qFormat/>
    <w:uiPriority w:val="0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650</Words>
  <Characters>656</Characters>
  <Lines>4</Lines>
  <Paragraphs>1</Paragraphs>
  <TotalTime>29</TotalTime>
  <ScaleCrop>false</ScaleCrop>
  <LinksUpToDate>false</LinksUpToDate>
  <CharactersWithSpaces>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2022-09-30T01:48:00Z</dcterms:created>
  <dc:creator>微软用户</dc:creator>
  <cp:lastModifiedBy>陈培杰</cp:lastModifiedBy>
  <dcterms:modified xsi:type="dcterms:W3CDTF">2026-01-28T02:44:15Z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eyJoZGlkIjoiMTRhMWQyMTE5ODc1ZmRkY2JmZWEzYjg0ZGMzMGUwNWYiLCJ1c2VySWQiOiIxNjU3MTU3MDMzIn0=</vt:lpwstr>
  </property>
  <property fmtid="{D5CDD505-2E9C-101B-9397-08002B2CF9AE}" pid="3" name="KSOProductBuildVer">
    <vt:lpwstr>2052-12.1.0.24657</vt:lpwstr>
  </property>
  <property fmtid="{D5CDD505-2E9C-101B-9397-08002B2CF9AE}" pid="4" name="ICV">
    <vt:lpwstr>593649A1DBF64C5AB565108B076E0425_12</vt:lpwstr>
  </property>
</Properties>
</file>