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E5E" w:rsidRDefault="00290182" w:rsidP="008C4E5E">
      <w:pPr>
        <w:pStyle w:val="a3"/>
        <w:rPr>
          <w:rFonts w:ascii="仿宋" w:eastAsia="仿宋" w:hAnsi="仿宋"/>
        </w:rPr>
      </w:pPr>
      <w:r w:rsidRPr="00290182">
        <w:rPr>
          <w:rFonts w:ascii="仿宋" w:eastAsia="仿宋" w:hAnsi="仿宋" w:hint="eastAsia"/>
        </w:rPr>
        <w:t>中山大学附属第一医院越秀院区外购电服务采购需求</w:t>
      </w:r>
    </w:p>
    <w:p w:rsidR="00B360C0" w:rsidRPr="00B360C0" w:rsidRDefault="00B360C0" w:rsidP="00B360C0"/>
    <w:p w:rsidR="008C4E5E" w:rsidRPr="0002348F" w:rsidRDefault="008C4E5E" w:rsidP="008C4E5E">
      <w:pPr>
        <w:rPr>
          <w:rFonts w:ascii="仿宋" w:eastAsia="仿宋" w:hAnsi="仿宋"/>
          <w:b/>
        </w:rPr>
      </w:pPr>
      <w:r w:rsidRPr="0002348F">
        <w:rPr>
          <w:rFonts w:ascii="仿宋" w:eastAsia="仿宋" w:hAnsi="仿宋" w:hint="eastAsia"/>
          <w:b/>
        </w:rPr>
        <w:t>一、项目概况</w:t>
      </w:r>
    </w:p>
    <w:p w:rsidR="008C4E5E" w:rsidRPr="002B710F" w:rsidRDefault="008C4E5E" w:rsidP="002B710F">
      <w:pPr>
        <w:pStyle w:val="a5"/>
        <w:numPr>
          <w:ilvl w:val="0"/>
          <w:numId w:val="2"/>
        </w:numPr>
        <w:ind w:firstLineChars="0"/>
        <w:rPr>
          <w:rFonts w:ascii="仿宋" w:eastAsia="仿宋" w:hAnsi="仿宋"/>
        </w:rPr>
      </w:pPr>
      <w:r w:rsidRPr="002B710F">
        <w:rPr>
          <w:rFonts w:ascii="仿宋" w:eastAsia="仿宋" w:hAnsi="仿宋" w:hint="eastAsia"/>
        </w:rPr>
        <w:t>用电主体：中山大学附属第一医院越秀院区</w:t>
      </w:r>
      <w:r w:rsidR="00C350AE">
        <w:rPr>
          <w:rFonts w:ascii="仿宋" w:eastAsia="仿宋" w:hAnsi="仿宋" w:hint="eastAsia"/>
        </w:rPr>
        <w:t>。</w:t>
      </w:r>
    </w:p>
    <w:p w:rsidR="008C4E5E" w:rsidRPr="002B710F" w:rsidRDefault="008C4E5E" w:rsidP="002B710F">
      <w:pPr>
        <w:pStyle w:val="a5"/>
        <w:numPr>
          <w:ilvl w:val="0"/>
          <w:numId w:val="2"/>
        </w:numPr>
        <w:ind w:firstLineChars="0"/>
        <w:rPr>
          <w:rFonts w:ascii="仿宋" w:eastAsia="仿宋" w:hAnsi="仿宋"/>
        </w:rPr>
      </w:pPr>
      <w:r w:rsidRPr="002B710F">
        <w:rPr>
          <w:rFonts w:ascii="仿宋" w:eastAsia="仿宋" w:hAnsi="仿宋" w:hint="eastAsia"/>
        </w:rPr>
        <w:t>用电地址：广东省广州市越秀区中山二路5</w:t>
      </w:r>
      <w:r w:rsidRPr="002B710F">
        <w:rPr>
          <w:rFonts w:ascii="仿宋" w:eastAsia="仿宋" w:hAnsi="仿宋"/>
        </w:rPr>
        <w:t>8</w:t>
      </w:r>
      <w:r w:rsidRPr="002B710F">
        <w:rPr>
          <w:rFonts w:ascii="仿宋" w:eastAsia="仿宋" w:hAnsi="仿宋" w:hint="eastAsia"/>
        </w:rPr>
        <w:t>号</w:t>
      </w:r>
      <w:r w:rsidR="001F46D3">
        <w:rPr>
          <w:rFonts w:ascii="仿宋" w:eastAsia="仿宋" w:hAnsi="仿宋" w:hint="eastAsia"/>
        </w:rPr>
        <w:t>、中山二路1号</w:t>
      </w:r>
      <w:r w:rsidR="00C350AE">
        <w:rPr>
          <w:rFonts w:ascii="仿宋" w:eastAsia="仿宋" w:hAnsi="仿宋" w:hint="eastAsia"/>
        </w:rPr>
        <w:t>。</w:t>
      </w:r>
    </w:p>
    <w:p w:rsidR="008C4E5E" w:rsidRPr="002B710F" w:rsidRDefault="008C4E5E" w:rsidP="002B710F">
      <w:pPr>
        <w:pStyle w:val="a5"/>
        <w:numPr>
          <w:ilvl w:val="0"/>
          <w:numId w:val="2"/>
        </w:numPr>
        <w:ind w:firstLineChars="0"/>
        <w:rPr>
          <w:rFonts w:ascii="仿宋" w:eastAsia="仿宋" w:hAnsi="仿宋"/>
        </w:rPr>
      </w:pPr>
      <w:r w:rsidRPr="002B710F">
        <w:rPr>
          <w:rFonts w:ascii="仿宋" w:eastAsia="仿宋" w:hAnsi="仿宋" w:hint="eastAsia"/>
        </w:rPr>
        <w:t>标的电量：</w:t>
      </w:r>
      <w:r w:rsidR="0021610F">
        <w:rPr>
          <w:rFonts w:ascii="仿宋" w:eastAsia="仿宋" w:hAnsi="仿宋"/>
        </w:rPr>
        <w:t>2026</w:t>
      </w:r>
      <w:r w:rsidR="0021610F">
        <w:rPr>
          <w:rFonts w:ascii="仿宋" w:eastAsia="仿宋" w:hAnsi="仿宋" w:hint="eastAsia"/>
        </w:rPr>
        <w:t>年XX月-</w:t>
      </w:r>
      <w:r w:rsidR="0021610F">
        <w:rPr>
          <w:rFonts w:ascii="仿宋" w:eastAsia="仿宋" w:hAnsi="仿宋"/>
        </w:rPr>
        <w:t>2029</w:t>
      </w:r>
      <w:r w:rsidR="0021610F">
        <w:rPr>
          <w:rFonts w:ascii="仿宋" w:eastAsia="仿宋" w:hAnsi="仿宋" w:hint="eastAsia"/>
        </w:rPr>
        <w:t>年XX月共3</w:t>
      </w:r>
      <w:r w:rsidR="0021610F">
        <w:rPr>
          <w:rFonts w:ascii="仿宋" w:eastAsia="仿宋" w:hAnsi="仿宋"/>
        </w:rPr>
        <w:t>6</w:t>
      </w:r>
      <w:r w:rsidR="0021610F">
        <w:rPr>
          <w:rFonts w:ascii="仿宋" w:eastAsia="仿宋" w:hAnsi="仿宋" w:hint="eastAsia"/>
        </w:rPr>
        <w:t>个月，</w:t>
      </w:r>
      <w:r w:rsidRPr="002B710F">
        <w:rPr>
          <w:rFonts w:ascii="仿宋" w:eastAsia="仿宋" w:hAnsi="仿宋" w:hint="eastAsia"/>
        </w:rPr>
        <w:t>总电量约</w:t>
      </w:r>
      <w:r w:rsidRPr="002B710F">
        <w:rPr>
          <w:rFonts w:ascii="仿宋" w:eastAsia="仿宋" w:hAnsi="仿宋"/>
        </w:rPr>
        <w:t>21000</w:t>
      </w:r>
      <w:r w:rsidRPr="002B710F">
        <w:rPr>
          <w:rFonts w:ascii="仿宋" w:eastAsia="仿宋" w:hAnsi="仿宋" w:hint="eastAsia"/>
        </w:rPr>
        <w:t>万</w:t>
      </w:r>
      <w:r w:rsidRPr="002B710F">
        <w:rPr>
          <w:rFonts w:ascii="仿宋" w:eastAsia="仿宋" w:hAnsi="仿宋"/>
        </w:rPr>
        <w:t>kWh</w:t>
      </w:r>
      <w:r w:rsidRPr="002B710F">
        <w:rPr>
          <w:rFonts w:ascii="仿宋" w:eastAsia="仿宋" w:hAnsi="仿宋" w:hint="eastAsia"/>
        </w:rPr>
        <w:t>（以实际使用量进行结算）</w:t>
      </w:r>
      <w:r w:rsidR="00C350AE">
        <w:rPr>
          <w:rFonts w:ascii="仿宋" w:eastAsia="仿宋" w:hAnsi="仿宋" w:hint="eastAsia"/>
        </w:rPr>
        <w:t>。</w:t>
      </w:r>
    </w:p>
    <w:p w:rsidR="008C4E5E" w:rsidRPr="002B710F" w:rsidRDefault="008C4E5E" w:rsidP="002B710F">
      <w:pPr>
        <w:pStyle w:val="a5"/>
        <w:numPr>
          <w:ilvl w:val="0"/>
          <w:numId w:val="2"/>
        </w:numPr>
        <w:ind w:firstLineChars="0"/>
        <w:rPr>
          <w:rFonts w:ascii="仿宋" w:eastAsia="仿宋" w:hAnsi="仿宋"/>
        </w:rPr>
      </w:pPr>
      <w:r w:rsidRPr="002B710F">
        <w:rPr>
          <w:rFonts w:ascii="仿宋" w:eastAsia="仿宋" w:hAnsi="仿宋" w:hint="eastAsia"/>
        </w:rPr>
        <w:t>电压等级：</w:t>
      </w:r>
      <w:r w:rsidRPr="002B710F">
        <w:rPr>
          <w:rFonts w:ascii="仿宋" w:eastAsia="仿宋" w:hAnsi="仿宋"/>
        </w:rPr>
        <w:t>10kV</w:t>
      </w:r>
      <w:r w:rsidR="00C350AE">
        <w:rPr>
          <w:rFonts w:ascii="仿宋" w:eastAsia="仿宋" w:hAnsi="仿宋" w:hint="eastAsia"/>
        </w:rPr>
        <w:t>。</w:t>
      </w:r>
    </w:p>
    <w:p w:rsidR="008C4E5E" w:rsidRPr="002B710F" w:rsidRDefault="008C4E5E" w:rsidP="00290182">
      <w:pPr>
        <w:pStyle w:val="a5"/>
        <w:numPr>
          <w:ilvl w:val="0"/>
          <w:numId w:val="2"/>
        </w:numPr>
        <w:ind w:firstLineChars="0"/>
        <w:rPr>
          <w:rFonts w:ascii="仿宋" w:eastAsia="仿宋" w:hAnsi="仿宋"/>
        </w:rPr>
      </w:pPr>
      <w:r w:rsidRPr="002B710F">
        <w:rPr>
          <w:rFonts w:ascii="仿宋" w:eastAsia="仿宋" w:hAnsi="仿宋" w:hint="eastAsia"/>
        </w:rPr>
        <w:t>合同周期：自合同签订且服务开始之日起，服务期为</w:t>
      </w:r>
      <w:r w:rsidR="00D34161">
        <w:rPr>
          <w:rFonts w:ascii="仿宋" w:eastAsia="仿宋" w:hAnsi="仿宋"/>
        </w:rPr>
        <w:t>36</w:t>
      </w:r>
      <w:r w:rsidR="00D34161">
        <w:rPr>
          <w:rFonts w:ascii="仿宋" w:eastAsia="仿宋" w:hAnsi="仿宋" w:hint="eastAsia"/>
        </w:rPr>
        <w:t>个月</w:t>
      </w:r>
      <w:r w:rsidR="001E33E1" w:rsidRPr="002B710F">
        <w:rPr>
          <w:rFonts w:ascii="仿宋" w:eastAsia="仿宋" w:hAnsi="仿宋" w:hint="eastAsia"/>
        </w:rPr>
        <w:t>。</w:t>
      </w:r>
      <w:r w:rsidRPr="002B710F">
        <w:rPr>
          <w:rFonts w:ascii="仿宋" w:eastAsia="仿宋" w:hAnsi="仿宋" w:hint="eastAsia"/>
        </w:rPr>
        <w:t>由于政府指导意见价有可能变动，合同服务期分多次签订，每个自然年度根据广东省电力交易中心交易规则签订当年度供电协议。</w:t>
      </w:r>
      <w:r w:rsidR="00290182" w:rsidRPr="00290182">
        <w:rPr>
          <w:rFonts w:ascii="仿宋" w:eastAsia="仿宋" w:hAnsi="仿宋" w:hint="eastAsia"/>
        </w:rPr>
        <w:t>如因政府政策调整导致</w:t>
      </w:r>
      <w:r w:rsidR="00981FB1">
        <w:rPr>
          <w:rFonts w:ascii="仿宋" w:eastAsia="仿宋" w:hAnsi="仿宋" w:hint="eastAsia"/>
        </w:rPr>
        <w:t>不能履行用户需求，双方应进行公平、对等</w:t>
      </w:r>
      <w:r w:rsidR="00290182" w:rsidRPr="00290182">
        <w:rPr>
          <w:rFonts w:ascii="仿宋" w:eastAsia="仿宋" w:hAnsi="仿宋" w:hint="eastAsia"/>
        </w:rPr>
        <w:t>协商解除合约。</w:t>
      </w:r>
    </w:p>
    <w:p w:rsidR="00327382" w:rsidRDefault="008810FB" w:rsidP="000710D5">
      <w:pPr>
        <w:pStyle w:val="a5"/>
        <w:numPr>
          <w:ilvl w:val="0"/>
          <w:numId w:val="2"/>
        </w:numPr>
        <w:ind w:firstLineChars="0"/>
        <w:rPr>
          <w:rFonts w:ascii="仿宋" w:eastAsia="仿宋" w:hAnsi="仿宋"/>
        </w:rPr>
      </w:pPr>
      <w:bookmarkStart w:id="0" w:name="OLE_LINK1"/>
      <w:bookmarkStart w:id="1" w:name="OLE_LINK2"/>
      <w:r w:rsidRPr="000710D5">
        <w:rPr>
          <w:rFonts w:ascii="仿宋" w:eastAsia="仿宋" w:hAnsi="仿宋" w:hint="eastAsia"/>
        </w:rPr>
        <w:t>电能量交易模式：</w:t>
      </w:r>
    </w:p>
    <w:p w:rsidR="00351903" w:rsidRDefault="00351903" w:rsidP="00BB2026">
      <w:pPr>
        <w:pStyle w:val="a5"/>
        <w:numPr>
          <w:ilvl w:val="1"/>
          <w:numId w:val="2"/>
        </w:numPr>
        <w:ind w:firstLineChars="0"/>
        <w:rPr>
          <w:rFonts w:ascii="仿宋" w:eastAsia="仿宋" w:hAnsi="仿宋"/>
        </w:rPr>
      </w:pPr>
      <w:r>
        <w:rPr>
          <w:rFonts w:ascii="仿宋" w:eastAsia="仿宋" w:hAnsi="仿宋" w:hint="eastAsia"/>
          <w:b/>
        </w:rPr>
        <w:t>采用</w:t>
      </w:r>
      <w:r w:rsidR="008810FB" w:rsidRPr="00327382">
        <w:rPr>
          <w:rFonts w:ascii="仿宋" w:eastAsia="仿宋" w:hAnsi="仿宋" w:hint="eastAsia"/>
          <w:b/>
        </w:rPr>
        <w:t>固定价格</w:t>
      </w:r>
      <w:r w:rsidR="008810FB" w:rsidRPr="00327382">
        <w:rPr>
          <w:rFonts w:ascii="仿宋" w:eastAsia="仿宋" w:hAnsi="仿宋"/>
          <w:b/>
        </w:rPr>
        <w:t>+市场联动</w:t>
      </w:r>
      <w:r w:rsidR="00C350AE" w:rsidRPr="00327382">
        <w:rPr>
          <w:rFonts w:ascii="仿宋" w:eastAsia="仿宋" w:hAnsi="仿宋"/>
          <w:b/>
        </w:rPr>
        <w:t>模式</w:t>
      </w:r>
      <w:bookmarkEnd w:id="0"/>
      <w:bookmarkEnd w:id="1"/>
      <w:r w:rsidR="008810FB" w:rsidRPr="000710D5">
        <w:rPr>
          <w:rFonts w:ascii="仿宋" w:eastAsia="仿宋" w:hAnsi="仿宋"/>
        </w:rPr>
        <w:t>（</w:t>
      </w:r>
      <w:r w:rsidR="00BB2026">
        <w:rPr>
          <w:rFonts w:ascii="仿宋" w:eastAsia="仿宋" w:hAnsi="仿宋" w:hint="eastAsia"/>
        </w:rPr>
        <w:t>参照</w:t>
      </w:r>
      <w:r w:rsidR="00BB2026" w:rsidRPr="00BB2026">
        <w:rPr>
          <w:rFonts w:ascii="仿宋" w:eastAsia="仿宋" w:hAnsi="仿宋" w:hint="eastAsia"/>
        </w:rPr>
        <w:t>广东电力交易中心</w:t>
      </w:r>
      <w:r w:rsidR="00BB2026">
        <w:rPr>
          <w:rFonts w:ascii="仿宋" w:eastAsia="仿宋" w:hAnsi="仿宋" w:hint="eastAsia"/>
        </w:rPr>
        <w:t>发布的</w:t>
      </w:r>
      <w:r w:rsidR="00BB2026" w:rsidRPr="00BB2026">
        <w:rPr>
          <w:rFonts w:ascii="仿宋" w:eastAsia="仿宋" w:hAnsi="仿宋" w:hint="eastAsia"/>
        </w:rPr>
        <w:t>《广东电力市场</w:t>
      </w:r>
      <w:r w:rsidR="00BB2026" w:rsidRPr="00BB2026">
        <w:rPr>
          <w:rFonts w:ascii="仿宋" w:eastAsia="仿宋" w:hAnsi="仿宋"/>
        </w:rPr>
        <w:t>2026年交易关键机制和参数》</w:t>
      </w:r>
      <w:r w:rsidR="00BB2026">
        <w:rPr>
          <w:rFonts w:ascii="仿宋" w:eastAsia="仿宋" w:hAnsi="仿宋" w:hint="eastAsia"/>
        </w:rPr>
        <w:t>，确定</w:t>
      </w:r>
      <w:r w:rsidR="008810FB" w:rsidRPr="000710D5">
        <w:rPr>
          <w:rFonts w:ascii="仿宋" w:eastAsia="仿宋" w:hAnsi="仿宋"/>
        </w:rPr>
        <w:t>固定价格结算电量与市场联动价格结算电量</w:t>
      </w:r>
      <w:r w:rsidR="008810FB" w:rsidRPr="000710D5">
        <w:rPr>
          <w:rFonts w:ascii="仿宋" w:eastAsia="仿宋" w:hAnsi="仿宋" w:hint="eastAsia"/>
        </w:rPr>
        <w:t>按照采购人实际用电量</w:t>
      </w:r>
      <w:r w:rsidR="008810FB" w:rsidRPr="000710D5">
        <w:rPr>
          <w:rFonts w:ascii="仿宋" w:eastAsia="仿宋" w:hAnsi="仿宋"/>
        </w:rPr>
        <w:t>90%</w:t>
      </w:r>
      <w:r w:rsidR="008810FB" w:rsidRPr="000710D5">
        <w:rPr>
          <w:rFonts w:ascii="仿宋" w:eastAsia="仿宋" w:hAnsi="仿宋" w:hint="eastAsia"/>
        </w:rPr>
        <w:t>：</w:t>
      </w:r>
      <w:r w:rsidR="008810FB" w:rsidRPr="000710D5">
        <w:rPr>
          <w:rFonts w:ascii="仿宋" w:eastAsia="仿宋" w:hAnsi="仿宋"/>
        </w:rPr>
        <w:t>10%</w:t>
      </w:r>
      <w:r w:rsidR="00C350AE" w:rsidRPr="000710D5">
        <w:rPr>
          <w:rFonts w:ascii="仿宋" w:eastAsia="仿宋" w:hAnsi="仿宋"/>
        </w:rPr>
        <w:t>进行分配</w:t>
      </w:r>
      <w:r w:rsidR="00981FB1">
        <w:rPr>
          <w:rFonts w:ascii="仿宋" w:eastAsia="仿宋" w:hAnsi="仿宋" w:hint="eastAsia"/>
        </w:rPr>
        <w:t>，其</w:t>
      </w:r>
      <w:r w:rsidR="00981FB1" w:rsidRPr="00351903">
        <w:rPr>
          <w:rFonts w:ascii="仿宋" w:eastAsia="仿宋" w:hAnsi="仿宋" w:hint="eastAsia"/>
          <w:highlight w:val="yellow"/>
        </w:rPr>
        <w:t>中市场</w:t>
      </w:r>
      <w:r w:rsidRPr="00351903">
        <w:rPr>
          <w:rFonts w:ascii="仿宋" w:eastAsia="仿宋" w:hAnsi="仿宋" w:hint="eastAsia"/>
          <w:highlight w:val="yellow"/>
        </w:rPr>
        <w:t>联动部分</w:t>
      </w:r>
      <w:r w:rsidR="00981FB1" w:rsidRPr="00351903">
        <w:rPr>
          <w:rFonts w:ascii="仿宋" w:eastAsia="仿宋" w:hAnsi="仿宋" w:hint="eastAsia"/>
          <w:highlight w:val="yellow"/>
        </w:rPr>
        <w:t>联动现货价格为8</w:t>
      </w:r>
      <w:r w:rsidR="00981FB1" w:rsidRPr="00351903">
        <w:rPr>
          <w:rFonts w:ascii="仿宋" w:eastAsia="仿宋" w:hAnsi="仿宋"/>
          <w:highlight w:val="yellow"/>
        </w:rPr>
        <w:t>%</w:t>
      </w:r>
      <w:r w:rsidR="00981FB1" w:rsidRPr="00351903">
        <w:rPr>
          <w:rFonts w:ascii="仿宋" w:eastAsia="仿宋" w:hAnsi="仿宋" w:hint="eastAsia"/>
          <w:highlight w:val="yellow"/>
        </w:rPr>
        <w:t>，联动月度价格为2</w:t>
      </w:r>
      <w:r w:rsidR="00981FB1" w:rsidRPr="00351903">
        <w:rPr>
          <w:rFonts w:ascii="仿宋" w:eastAsia="仿宋" w:hAnsi="仿宋"/>
          <w:highlight w:val="yellow"/>
        </w:rPr>
        <w:t>%</w:t>
      </w:r>
      <w:r w:rsidR="008810FB" w:rsidRPr="00351903">
        <w:rPr>
          <w:rFonts w:ascii="仿宋" w:eastAsia="仿宋" w:hAnsi="仿宋"/>
          <w:highlight w:val="yellow"/>
        </w:rPr>
        <w:t>）</w:t>
      </w:r>
      <w:r>
        <w:rPr>
          <w:rFonts w:ascii="仿宋" w:eastAsia="仿宋" w:hAnsi="仿宋" w:hint="eastAsia"/>
          <w:highlight w:val="yellow"/>
        </w:rPr>
        <w:t>；</w:t>
      </w:r>
    </w:p>
    <w:p w:rsidR="00351903" w:rsidRDefault="000710D5" w:rsidP="00351903">
      <w:pPr>
        <w:pStyle w:val="a5"/>
        <w:numPr>
          <w:ilvl w:val="1"/>
          <w:numId w:val="2"/>
        </w:numPr>
        <w:ind w:firstLineChars="0"/>
        <w:rPr>
          <w:rFonts w:ascii="仿宋" w:eastAsia="仿宋" w:hAnsi="仿宋"/>
        </w:rPr>
      </w:pPr>
      <w:r w:rsidRPr="000710D5">
        <w:rPr>
          <w:rFonts w:ascii="仿宋" w:eastAsia="仿宋" w:hAnsi="仿宋" w:hint="eastAsia"/>
        </w:rPr>
        <w:t>交易手续费及用电偏差由中标</w:t>
      </w:r>
      <w:r w:rsidR="00B23663">
        <w:rPr>
          <w:rFonts w:ascii="仿宋" w:eastAsia="仿宋" w:hAnsi="仿宋" w:hint="eastAsia"/>
        </w:rPr>
        <w:t>人</w:t>
      </w:r>
      <w:r w:rsidRPr="000710D5">
        <w:rPr>
          <w:rFonts w:ascii="仿宋" w:eastAsia="仿宋" w:hAnsi="仿宋" w:hint="eastAsia"/>
        </w:rPr>
        <w:t>承担</w:t>
      </w:r>
      <w:r w:rsidR="00351903">
        <w:rPr>
          <w:rFonts w:ascii="仿宋" w:eastAsia="仿宋" w:hAnsi="仿宋" w:hint="eastAsia"/>
        </w:rPr>
        <w:t>；</w:t>
      </w:r>
    </w:p>
    <w:p w:rsidR="008810FB" w:rsidRPr="000710D5" w:rsidRDefault="00BB2026" w:rsidP="00351903">
      <w:pPr>
        <w:pStyle w:val="a5"/>
        <w:numPr>
          <w:ilvl w:val="1"/>
          <w:numId w:val="2"/>
        </w:numPr>
        <w:ind w:firstLineChars="0"/>
        <w:rPr>
          <w:rFonts w:ascii="仿宋" w:eastAsia="仿宋" w:hAnsi="仿宋"/>
        </w:rPr>
      </w:pPr>
      <w:r>
        <w:rPr>
          <w:rFonts w:ascii="仿宋" w:eastAsia="仿宋" w:hAnsi="仿宋" w:hint="eastAsia"/>
        </w:rPr>
        <w:t>2</w:t>
      </w:r>
      <w:r>
        <w:rPr>
          <w:rFonts w:ascii="仿宋" w:eastAsia="仿宋" w:hAnsi="仿宋"/>
        </w:rPr>
        <w:t>027</w:t>
      </w:r>
      <w:r>
        <w:rPr>
          <w:rFonts w:ascii="仿宋" w:eastAsia="仿宋" w:hAnsi="仿宋" w:hint="eastAsia"/>
        </w:rPr>
        <w:t>-2</w:t>
      </w:r>
      <w:r>
        <w:rPr>
          <w:rFonts w:ascii="仿宋" w:eastAsia="仿宋" w:hAnsi="仿宋"/>
        </w:rPr>
        <w:t>029</w:t>
      </w:r>
      <w:r>
        <w:rPr>
          <w:rFonts w:ascii="仿宋" w:eastAsia="仿宋" w:hAnsi="仿宋" w:hint="eastAsia"/>
        </w:rPr>
        <w:t>年</w:t>
      </w:r>
      <w:r w:rsidR="000710D5" w:rsidRPr="002B710F">
        <w:rPr>
          <w:rFonts w:ascii="仿宋" w:eastAsia="仿宋" w:hAnsi="仿宋"/>
        </w:rPr>
        <w:t>按</w:t>
      </w:r>
      <w:r>
        <w:rPr>
          <w:rFonts w:ascii="仿宋" w:eastAsia="仿宋" w:hAnsi="仿宋" w:hint="eastAsia"/>
        </w:rPr>
        <w:t>当年度</w:t>
      </w:r>
      <w:r w:rsidR="000710D5" w:rsidRPr="002B710F">
        <w:rPr>
          <w:rFonts w:ascii="仿宋" w:eastAsia="仿宋" w:hAnsi="仿宋" w:hint="eastAsia"/>
        </w:rPr>
        <w:t>指导文件执行</w:t>
      </w:r>
      <w:r>
        <w:rPr>
          <w:rFonts w:ascii="仿宋" w:eastAsia="仿宋" w:hAnsi="仿宋" w:hint="eastAsia"/>
        </w:rPr>
        <w:t>，固定价格及市场联动比例以当年</w:t>
      </w:r>
      <w:bookmarkStart w:id="2" w:name="_GoBack"/>
      <w:bookmarkEnd w:id="2"/>
      <w:r>
        <w:rPr>
          <w:rFonts w:ascii="仿宋" w:eastAsia="仿宋" w:hAnsi="仿宋" w:hint="eastAsia"/>
        </w:rPr>
        <w:t>协议确定</w:t>
      </w:r>
      <w:r w:rsidR="000710D5" w:rsidRPr="000710D5">
        <w:rPr>
          <w:rFonts w:ascii="仿宋" w:eastAsia="仿宋" w:hAnsi="仿宋" w:hint="eastAsia"/>
        </w:rPr>
        <w:t>。</w:t>
      </w:r>
    </w:p>
    <w:p w:rsidR="008810FB" w:rsidRPr="002B710F" w:rsidRDefault="008810FB" w:rsidP="00EC79EC">
      <w:pPr>
        <w:pStyle w:val="a5"/>
        <w:numPr>
          <w:ilvl w:val="0"/>
          <w:numId w:val="2"/>
        </w:numPr>
        <w:ind w:firstLineChars="0"/>
        <w:rPr>
          <w:rFonts w:ascii="仿宋" w:eastAsia="仿宋" w:hAnsi="仿宋"/>
        </w:rPr>
      </w:pPr>
      <w:r w:rsidRPr="002B710F">
        <w:rPr>
          <w:rFonts w:ascii="仿宋" w:eastAsia="仿宋" w:hAnsi="仿宋" w:hint="eastAsia"/>
        </w:rPr>
        <w:t>本项目要求</w:t>
      </w:r>
      <w:r w:rsidR="001F46D3">
        <w:rPr>
          <w:rFonts w:ascii="仿宋" w:eastAsia="仿宋" w:hAnsi="仿宋" w:hint="eastAsia"/>
        </w:rPr>
        <w:t>投标人</w:t>
      </w:r>
      <w:r w:rsidR="00A03BFB">
        <w:rPr>
          <w:rFonts w:ascii="仿宋" w:eastAsia="仿宋" w:hAnsi="仿宋" w:hint="eastAsia"/>
        </w:rPr>
        <w:t>对电能量</w:t>
      </w:r>
      <w:r w:rsidRPr="002B710F">
        <w:rPr>
          <w:rFonts w:ascii="仿宋" w:eastAsia="仿宋" w:hAnsi="仿宋" w:hint="eastAsia"/>
        </w:rPr>
        <w:t>固定</w:t>
      </w:r>
      <w:r w:rsidR="00A03BFB">
        <w:rPr>
          <w:rFonts w:ascii="仿宋" w:eastAsia="仿宋" w:hAnsi="仿宋" w:hint="eastAsia"/>
        </w:rPr>
        <w:t>价格部分进行</w:t>
      </w:r>
      <w:r w:rsidRPr="002B710F">
        <w:rPr>
          <w:rFonts w:ascii="仿宋" w:eastAsia="仿宋" w:hAnsi="仿宋" w:hint="eastAsia"/>
        </w:rPr>
        <w:t>报价</w:t>
      </w:r>
      <w:r w:rsidR="00327382">
        <w:rPr>
          <w:rFonts w:ascii="仿宋" w:eastAsia="仿宋" w:hAnsi="仿宋" w:hint="eastAsia"/>
        </w:rPr>
        <w:t>，单价要求不低于</w:t>
      </w:r>
      <w:r w:rsidR="00EC79EC">
        <w:rPr>
          <w:rFonts w:ascii="仿宋" w:eastAsia="仿宋" w:hAnsi="仿宋" w:hint="eastAsia"/>
        </w:rPr>
        <w:t>2</w:t>
      </w:r>
      <w:r w:rsidR="00EC79EC">
        <w:rPr>
          <w:rFonts w:ascii="仿宋" w:eastAsia="仿宋" w:hAnsi="仿宋"/>
        </w:rPr>
        <w:t>026</w:t>
      </w:r>
      <w:r w:rsidR="00327382">
        <w:rPr>
          <w:rFonts w:ascii="仿宋" w:eastAsia="仿宋" w:hAnsi="仿宋" w:hint="eastAsia"/>
        </w:rPr>
        <w:t>年政府指导价</w:t>
      </w:r>
      <w:r w:rsidR="00981FB1">
        <w:rPr>
          <w:rFonts w:ascii="仿宋" w:eastAsia="仿宋" w:hAnsi="仿宋"/>
        </w:rPr>
        <w:t>372</w:t>
      </w:r>
      <w:r w:rsidR="00EC79EC" w:rsidRPr="00EC79EC">
        <w:rPr>
          <w:rFonts w:ascii="仿宋" w:eastAsia="仿宋" w:hAnsi="仿宋"/>
        </w:rPr>
        <w:t>元/兆瓦时</w:t>
      </w:r>
      <w:r w:rsidR="00327382">
        <w:rPr>
          <w:rFonts w:ascii="仿宋" w:eastAsia="仿宋" w:hAnsi="仿宋" w:hint="eastAsia"/>
        </w:rPr>
        <w:t>，不高于</w:t>
      </w:r>
      <w:r w:rsidR="001F46D3">
        <w:rPr>
          <w:rFonts w:ascii="仿宋" w:eastAsia="仿宋" w:hAnsi="仿宋" w:hint="eastAsia"/>
        </w:rPr>
        <w:t>采购人预算</w:t>
      </w:r>
      <w:r w:rsidR="00981FB1">
        <w:rPr>
          <w:rFonts w:ascii="仿宋" w:eastAsia="仿宋" w:hAnsi="仿宋" w:hint="eastAsia"/>
        </w:rPr>
        <w:t>限价</w:t>
      </w:r>
      <w:r w:rsidR="00981FB1">
        <w:rPr>
          <w:rFonts w:ascii="仿宋" w:eastAsia="仿宋" w:hAnsi="仿宋"/>
        </w:rPr>
        <w:t>400</w:t>
      </w:r>
      <w:r w:rsidR="00EC79EC" w:rsidRPr="00EC79EC">
        <w:rPr>
          <w:rFonts w:ascii="仿宋" w:eastAsia="仿宋" w:hAnsi="仿宋"/>
        </w:rPr>
        <w:t>元/兆瓦时</w:t>
      </w:r>
      <w:r w:rsidR="001F46D3">
        <w:rPr>
          <w:rFonts w:ascii="仿宋" w:eastAsia="仿宋" w:hAnsi="仿宋" w:hint="eastAsia"/>
        </w:rPr>
        <w:t>。</w:t>
      </w:r>
      <w:r w:rsidR="00EC79EC">
        <w:rPr>
          <w:rFonts w:ascii="仿宋" w:eastAsia="仿宋" w:hAnsi="仿宋" w:hint="eastAsia"/>
        </w:rPr>
        <w:t>投标人</w:t>
      </w:r>
      <w:r w:rsidRPr="002B710F">
        <w:rPr>
          <w:rFonts w:ascii="仿宋" w:eastAsia="仿宋" w:hAnsi="仿宋" w:hint="eastAsia"/>
        </w:rPr>
        <w:t>报价</w:t>
      </w:r>
      <w:r w:rsidR="00EC79EC">
        <w:rPr>
          <w:rFonts w:ascii="仿宋" w:eastAsia="仿宋" w:hAnsi="仿宋" w:hint="eastAsia"/>
        </w:rPr>
        <w:t>已</w:t>
      </w:r>
      <w:r w:rsidR="00A03BFB">
        <w:rPr>
          <w:rFonts w:ascii="仿宋" w:eastAsia="仿宋" w:hAnsi="仿宋" w:hint="eastAsia"/>
        </w:rPr>
        <w:t>包</w:t>
      </w:r>
      <w:r w:rsidRPr="002B710F">
        <w:rPr>
          <w:rFonts w:ascii="仿宋" w:eastAsia="仿宋" w:hAnsi="仿宋" w:hint="eastAsia"/>
        </w:rPr>
        <w:t>含</w:t>
      </w:r>
      <w:r w:rsidR="00A03BFB">
        <w:rPr>
          <w:rFonts w:ascii="仿宋" w:eastAsia="仿宋" w:hAnsi="仿宋" w:hint="eastAsia"/>
        </w:rPr>
        <w:t>交易手续</w:t>
      </w:r>
      <w:r w:rsidRPr="002B710F">
        <w:rPr>
          <w:rFonts w:ascii="仿宋" w:eastAsia="仿宋" w:hAnsi="仿宋" w:hint="eastAsia"/>
        </w:rPr>
        <w:t>费等所有费用</w:t>
      </w:r>
      <w:r w:rsidR="00327382">
        <w:rPr>
          <w:rFonts w:ascii="仿宋" w:eastAsia="仿宋" w:hAnsi="仿宋" w:hint="eastAsia"/>
        </w:rPr>
        <w:t>。</w:t>
      </w:r>
      <w:r w:rsidRPr="002B710F">
        <w:rPr>
          <w:rFonts w:ascii="仿宋" w:eastAsia="仿宋" w:hAnsi="仿宋" w:hint="eastAsia"/>
        </w:rPr>
        <w:t>在协议期限内，</w:t>
      </w:r>
      <w:r w:rsidR="00EC79EC">
        <w:rPr>
          <w:rFonts w:ascii="仿宋" w:eastAsia="仿宋" w:hAnsi="仿宋" w:hint="eastAsia"/>
        </w:rPr>
        <w:t>当</w:t>
      </w:r>
      <w:r w:rsidR="00D60823">
        <w:rPr>
          <w:rFonts w:ascii="仿宋" w:eastAsia="仿宋" w:hAnsi="仿宋" w:hint="eastAsia"/>
        </w:rPr>
        <w:t>成交</w:t>
      </w:r>
      <w:r w:rsidR="00D60823" w:rsidRPr="002B710F">
        <w:rPr>
          <w:rFonts w:ascii="仿宋" w:eastAsia="仿宋" w:hAnsi="仿宋" w:hint="eastAsia"/>
        </w:rPr>
        <w:t>单价</w:t>
      </w:r>
      <w:r w:rsidR="00D60823">
        <w:rPr>
          <w:rFonts w:ascii="仿宋" w:eastAsia="仿宋" w:hAnsi="仿宋" w:hint="eastAsia"/>
        </w:rPr>
        <w:t>低于</w:t>
      </w:r>
      <w:r w:rsidR="001F46D3">
        <w:rPr>
          <w:rFonts w:ascii="仿宋" w:eastAsia="仿宋" w:hAnsi="仿宋" w:hint="eastAsia"/>
        </w:rPr>
        <w:t>当</w:t>
      </w:r>
      <w:r w:rsidR="00EC79EC">
        <w:rPr>
          <w:rFonts w:ascii="仿宋" w:eastAsia="仿宋" w:hAnsi="仿宋" w:hint="eastAsia"/>
        </w:rPr>
        <w:t>年度最低政府指导价的，当年度协议</w:t>
      </w:r>
      <w:r w:rsidR="00D60823">
        <w:rPr>
          <w:rFonts w:ascii="仿宋" w:eastAsia="仿宋" w:hAnsi="仿宋" w:hint="eastAsia"/>
        </w:rPr>
        <w:t>以</w:t>
      </w:r>
      <w:r w:rsidR="00EC79EC">
        <w:rPr>
          <w:rFonts w:ascii="仿宋" w:eastAsia="仿宋" w:hAnsi="仿宋" w:hint="eastAsia"/>
        </w:rPr>
        <w:t>最低政府指导价为单价签订</w:t>
      </w:r>
      <w:r w:rsidR="0021610F">
        <w:rPr>
          <w:rFonts w:ascii="仿宋" w:eastAsia="仿宋" w:hAnsi="仿宋" w:hint="eastAsia"/>
        </w:rPr>
        <w:t>。</w:t>
      </w:r>
    </w:p>
    <w:p w:rsidR="008C4E5E" w:rsidRPr="002B710F" w:rsidRDefault="008C4E5E" w:rsidP="002B710F">
      <w:pPr>
        <w:pStyle w:val="a5"/>
        <w:numPr>
          <w:ilvl w:val="0"/>
          <w:numId w:val="2"/>
        </w:numPr>
        <w:ind w:firstLineChars="0"/>
        <w:rPr>
          <w:rFonts w:ascii="仿宋" w:eastAsia="仿宋" w:hAnsi="仿宋"/>
        </w:rPr>
      </w:pPr>
      <w:r w:rsidRPr="002B710F">
        <w:rPr>
          <w:rFonts w:ascii="仿宋" w:eastAsia="仿宋" w:hAnsi="仿宋" w:hint="eastAsia"/>
        </w:rPr>
        <w:t>投标人应清楚知悉采购人用电需求为估算量，最终用电需求以实际为准，投标人应有充足的配额能确保采购人的用电需求，投标人不得因采购人用电需求与实际不符追索采购人违约责任。</w:t>
      </w:r>
    </w:p>
    <w:p w:rsidR="008C4E5E" w:rsidRPr="0002348F" w:rsidRDefault="008C4E5E" w:rsidP="008C4E5E">
      <w:pPr>
        <w:rPr>
          <w:rFonts w:ascii="仿宋" w:eastAsia="仿宋" w:hAnsi="仿宋"/>
          <w:b/>
        </w:rPr>
      </w:pPr>
      <w:r w:rsidRPr="0002348F">
        <w:rPr>
          <w:rFonts w:ascii="仿宋" w:eastAsia="仿宋" w:hAnsi="仿宋" w:hint="eastAsia"/>
          <w:b/>
        </w:rPr>
        <w:t>二、服务内容</w:t>
      </w:r>
    </w:p>
    <w:p w:rsidR="008C4E5E" w:rsidRPr="00EA7CD1" w:rsidRDefault="008C4E5E" w:rsidP="00EA7CD1">
      <w:pPr>
        <w:pStyle w:val="a5"/>
        <w:numPr>
          <w:ilvl w:val="0"/>
          <w:numId w:val="4"/>
        </w:numPr>
        <w:ind w:firstLineChars="0"/>
        <w:rPr>
          <w:rFonts w:ascii="仿宋" w:eastAsia="仿宋" w:hAnsi="仿宋"/>
        </w:rPr>
      </w:pPr>
      <w:r w:rsidRPr="002B710F">
        <w:rPr>
          <w:rFonts w:ascii="仿宋" w:eastAsia="仿宋" w:hAnsi="仿宋" w:hint="eastAsia"/>
        </w:rPr>
        <w:t>中标人按国家有关法规、规定和技术规范，提供全周期电力交易服务。</w:t>
      </w:r>
      <w:r w:rsidRPr="00EA7CD1">
        <w:rPr>
          <w:rFonts w:ascii="仿宋" w:eastAsia="仿宋" w:hAnsi="仿宋" w:hint="eastAsia"/>
        </w:rPr>
        <w:t>采购人和中标人双方按照签订的线下合同在交易系统中进行申报、确认，广东电力交易中心以双方在交易系统中申报、确认的模式和数据进行结算。</w:t>
      </w:r>
      <w:r w:rsidR="00062575" w:rsidRPr="00EA7CD1">
        <w:rPr>
          <w:rFonts w:ascii="仿宋" w:eastAsia="仿宋" w:hAnsi="仿宋" w:hint="eastAsia"/>
        </w:rPr>
        <w:t>中标人</w:t>
      </w:r>
      <w:r w:rsidR="00EA7CD1" w:rsidRPr="00EA7CD1">
        <w:rPr>
          <w:rFonts w:ascii="仿宋" w:eastAsia="仿宋" w:hAnsi="仿宋" w:hint="eastAsia"/>
        </w:rPr>
        <w:t>应</w:t>
      </w:r>
      <w:r w:rsidR="00062575" w:rsidRPr="00EA7CD1">
        <w:rPr>
          <w:rFonts w:ascii="仿宋" w:eastAsia="仿宋" w:hAnsi="仿宋" w:hint="eastAsia"/>
        </w:rPr>
        <w:t>协助采购人</w:t>
      </w:r>
      <w:r w:rsidRPr="00EA7CD1">
        <w:rPr>
          <w:rFonts w:ascii="仿宋" w:eastAsia="仿宋" w:hAnsi="仿宋" w:hint="eastAsia"/>
        </w:rPr>
        <w:t>参与电力市场化交易，负责每月交易电量申报、交易、结算工作。</w:t>
      </w:r>
      <w:r w:rsidR="00EA7CD1" w:rsidRPr="00EA7CD1">
        <w:rPr>
          <w:rFonts w:ascii="仿宋" w:eastAsia="仿宋" w:hAnsi="仿宋" w:hint="eastAsia"/>
        </w:rPr>
        <w:t>采购人的电费结算方式为月度结算，</w:t>
      </w:r>
      <w:r w:rsidRPr="00EA7CD1">
        <w:rPr>
          <w:rFonts w:ascii="仿宋" w:eastAsia="仿宋" w:hAnsi="仿宋" w:hint="eastAsia"/>
        </w:rPr>
        <w:t>每月实际交易电量以供电企</w:t>
      </w:r>
      <w:r w:rsidR="00EA7CD1" w:rsidRPr="00EA7CD1">
        <w:rPr>
          <w:rFonts w:ascii="仿宋" w:eastAsia="仿宋" w:hAnsi="仿宋" w:hint="eastAsia"/>
        </w:rPr>
        <w:t>业电力计量装置采集并推送至广东电力交易中心发布的实际用电量为准</w:t>
      </w:r>
      <w:r w:rsidRPr="00EA7CD1">
        <w:rPr>
          <w:rFonts w:ascii="仿宋" w:eastAsia="仿宋" w:hAnsi="仿宋" w:hint="eastAsia"/>
        </w:rPr>
        <w:t>。</w:t>
      </w:r>
    </w:p>
    <w:p w:rsidR="008C4E5E" w:rsidRPr="002B710F" w:rsidRDefault="008C4E5E" w:rsidP="002B710F">
      <w:pPr>
        <w:pStyle w:val="a5"/>
        <w:numPr>
          <w:ilvl w:val="0"/>
          <w:numId w:val="4"/>
        </w:numPr>
        <w:ind w:firstLineChars="0"/>
        <w:rPr>
          <w:rFonts w:ascii="仿宋" w:eastAsia="仿宋" w:hAnsi="仿宋"/>
        </w:rPr>
      </w:pPr>
      <w:r w:rsidRPr="002B710F">
        <w:rPr>
          <w:rFonts w:ascii="仿宋" w:eastAsia="仿宋" w:hAnsi="仿宋" w:hint="eastAsia"/>
        </w:rPr>
        <w:t>中</w:t>
      </w:r>
      <w:r w:rsidR="00EA7CD1">
        <w:rPr>
          <w:rFonts w:ascii="仿宋" w:eastAsia="仿宋" w:hAnsi="仿宋" w:hint="eastAsia"/>
        </w:rPr>
        <w:t>标人需</w:t>
      </w:r>
      <w:r w:rsidRPr="002B710F">
        <w:rPr>
          <w:rFonts w:ascii="仿宋" w:eastAsia="仿宋" w:hAnsi="仿宋" w:hint="eastAsia"/>
        </w:rPr>
        <w:t>协助采购人完成电力交易平台注册工作，包括但不限于指导资料准备、协助系统录入、解答注册流程疑问等。在合同期内，</w:t>
      </w:r>
      <w:r w:rsidR="004A05AE">
        <w:rPr>
          <w:rFonts w:ascii="仿宋" w:eastAsia="仿宋" w:hAnsi="仿宋" w:hint="eastAsia"/>
        </w:rPr>
        <w:t>中标人</w:t>
      </w:r>
      <w:r w:rsidRPr="002B710F">
        <w:rPr>
          <w:rFonts w:ascii="仿宋" w:eastAsia="仿宋" w:hAnsi="仿宋" w:hint="eastAsia"/>
        </w:rPr>
        <w:t>需负责电力交易平台日常数据填报工作，采购人提供所需基础资料，</w:t>
      </w:r>
      <w:r w:rsidR="004A05AE">
        <w:rPr>
          <w:rFonts w:ascii="仿宋" w:eastAsia="仿宋" w:hAnsi="仿宋" w:hint="eastAsia"/>
        </w:rPr>
        <w:t>中标人</w:t>
      </w:r>
      <w:r w:rsidRPr="002B710F">
        <w:rPr>
          <w:rFonts w:ascii="仿宋" w:eastAsia="仿宋" w:hAnsi="仿宋" w:hint="eastAsia"/>
        </w:rPr>
        <w:t>应确保数据填报的及时性、准确性和完整性。</w:t>
      </w:r>
    </w:p>
    <w:p w:rsidR="008C4E5E" w:rsidRPr="002B710F" w:rsidRDefault="00212E6B" w:rsidP="002B710F">
      <w:pPr>
        <w:pStyle w:val="a5"/>
        <w:numPr>
          <w:ilvl w:val="0"/>
          <w:numId w:val="4"/>
        </w:numPr>
        <w:ind w:firstLineChars="0"/>
        <w:rPr>
          <w:rFonts w:ascii="仿宋" w:eastAsia="仿宋" w:hAnsi="仿宋"/>
        </w:rPr>
      </w:pPr>
      <w:r>
        <w:rPr>
          <w:rFonts w:ascii="仿宋" w:eastAsia="仿宋" w:hAnsi="仿宋" w:hint="eastAsia"/>
        </w:rPr>
        <w:t>中标人</w:t>
      </w:r>
      <w:r w:rsidR="0021610F">
        <w:rPr>
          <w:rFonts w:ascii="仿宋" w:eastAsia="仿宋" w:hAnsi="仿宋" w:hint="eastAsia"/>
        </w:rPr>
        <w:t>负责电量电费分析、电力技术咨询</w:t>
      </w:r>
      <w:r w:rsidR="008C4E5E" w:rsidRPr="002B710F">
        <w:rPr>
          <w:rFonts w:ascii="仿宋" w:eastAsia="仿宋" w:hAnsi="仿宋" w:hint="eastAsia"/>
        </w:rPr>
        <w:t>，包括与电网企业的沟通，发行电费准确性、合理性分析，相应发票获取及用电手续办理等业务，每月提供交易电量结算清单，明确交易电量和电价，并如实向采购人提供真实准确的交易相关信息和资料。</w:t>
      </w:r>
    </w:p>
    <w:p w:rsidR="00C350AE" w:rsidRDefault="00C350AE" w:rsidP="00C350AE">
      <w:pPr>
        <w:pStyle w:val="a5"/>
        <w:numPr>
          <w:ilvl w:val="0"/>
          <w:numId w:val="4"/>
        </w:numPr>
        <w:ind w:firstLineChars="0"/>
        <w:rPr>
          <w:rFonts w:ascii="仿宋" w:eastAsia="仿宋" w:hAnsi="仿宋"/>
        </w:rPr>
      </w:pPr>
      <w:r w:rsidRPr="00C350AE">
        <w:rPr>
          <w:rFonts w:ascii="仿宋" w:eastAsia="仿宋" w:hAnsi="仿宋" w:hint="eastAsia"/>
        </w:rPr>
        <w:t>为确保电力供应的稳定性，投标人须制定保障方案以保障项目顺利实施。投标人对项目实施期间存在的各种风险（价格风险、信用风险）等具备相应的防控措施和应对方案，</w:t>
      </w:r>
      <w:r w:rsidRPr="00C350AE">
        <w:rPr>
          <w:rFonts w:ascii="仿宋" w:eastAsia="仿宋" w:hAnsi="仿宋" w:hint="eastAsia"/>
        </w:rPr>
        <w:lastRenderedPageBreak/>
        <w:t>做到多元化购电和动态调整，保障采购人有稳定的电力供应。</w:t>
      </w:r>
    </w:p>
    <w:p w:rsidR="008C4E5E" w:rsidRPr="0048396B" w:rsidRDefault="008C4E5E" w:rsidP="0048396B">
      <w:pPr>
        <w:pStyle w:val="a5"/>
        <w:numPr>
          <w:ilvl w:val="0"/>
          <w:numId w:val="4"/>
        </w:numPr>
        <w:ind w:firstLineChars="0"/>
        <w:rPr>
          <w:rFonts w:ascii="仿宋" w:eastAsia="仿宋" w:hAnsi="仿宋"/>
        </w:rPr>
      </w:pPr>
      <w:r w:rsidRPr="0048396B">
        <w:rPr>
          <w:rFonts w:ascii="仿宋" w:eastAsia="仿宋" w:hAnsi="仿宋" w:hint="eastAsia"/>
        </w:rPr>
        <w:t>为确保项目顺利进行，投标人须组建</w:t>
      </w:r>
      <w:r w:rsidR="000057BB" w:rsidRPr="0048396B">
        <w:rPr>
          <w:rFonts w:ascii="仿宋" w:eastAsia="仿宋" w:hAnsi="仿宋" w:hint="eastAsia"/>
        </w:rPr>
        <w:t>专门</w:t>
      </w:r>
      <w:r w:rsidRPr="0048396B">
        <w:rPr>
          <w:rFonts w:ascii="仿宋" w:eastAsia="仿宋" w:hAnsi="仿宋" w:hint="eastAsia"/>
        </w:rPr>
        <w:t>服务团队</w:t>
      </w:r>
      <w:r w:rsidR="00290182" w:rsidRPr="0048396B">
        <w:rPr>
          <w:rFonts w:ascii="仿宋" w:eastAsia="仿宋" w:hAnsi="仿宋" w:hint="eastAsia"/>
        </w:rPr>
        <w:t>与采购人主管部门对接</w:t>
      </w:r>
      <w:r w:rsidRPr="0048396B">
        <w:rPr>
          <w:rFonts w:ascii="仿宋" w:eastAsia="仿宋" w:hAnsi="仿宋" w:hint="eastAsia"/>
        </w:rPr>
        <w:t>，该团队至少包括</w:t>
      </w:r>
      <w:r w:rsidRPr="0048396B">
        <w:rPr>
          <w:rFonts w:ascii="仿宋" w:eastAsia="仿宋" w:hAnsi="仿宋"/>
        </w:rPr>
        <w:t>1</w:t>
      </w:r>
      <w:r w:rsidRPr="0048396B">
        <w:rPr>
          <w:rFonts w:ascii="仿宋" w:eastAsia="仿宋" w:hAnsi="仿宋" w:hint="eastAsia"/>
        </w:rPr>
        <w:t>名项目</w:t>
      </w:r>
      <w:r w:rsidR="000057BB" w:rsidRPr="0048396B">
        <w:rPr>
          <w:rFonts w:ascii="仿宋" w:eastAsia="仿宋" w:hAnsi="仿宋" w:hint="eastAsia"/>
        </w:rPr>
        <w:t>负责人</w:t>
      </w:r>
      <w:r w:rsidRPr="0048396B">
        <w:rPr>
          <w:rFonts w:ascii="仿宋" w:eastAsia="仿宋" w:hAnsi="仿宋" w:hint="eastAsia"/>
        </w:rPr>
        <w:t>及</w:t>
      </w:r>
      <w:r w:rsidR="000057BB" w:rsidRPr="0048396B">
        <w:rPr>
          <w:rFonts w:ascii="仿宋" w:eastAsia="仿宋" w:hAnsi="仿宋" w:hint="eastAsia"/>
        </w:rPr>
        <w:t>1</w:t>
      </w:r>
      <w:r w:rsidRPr="0048396B">
        <w:rPr>
          <w:rFonts w:ascii="仿宋" w:eastAsia="仿宋" w:hAnsi="仿宋" w:hint="eastAsia"/>
        </w:rPr>
        <w:t>名</w:t>
      </w:r>
      <w:r w:rsidR="000057BB" w:rsidRPr="0048396B">
        <w:rPr>
          <w:rFonts w:ascii="仿宋" w:eastAsia="仿宋" w:hAnsi="仿宋" w:hint="eastAsia"/>
        </w:rPr>
        <w:t>管理</w:t>
      </w:r>
      <w:r w:rsidRPr="0048396B">
        <w:rPr>
          <w:rFonts w:ascii="仿宋" w:eastAsia="仿宋" w:hAnsi="仿宋" w:hint="eastAsia"/>
        </w:rPr>
        <w:t>人员。项目</w:t>
      </w:r>
      <w:r w:rsidR="00290182" w:rsidRPr="0048396B">
        <w:rPr>
          <w:rFonts w:ascii="仿宋" w:eastAsia="仿宋" w:hAnsi="仿宋" w:hint="eastAsia"/>
        </w:rPr>
        <w:t>负责人</w:t>
      </w:r>
      <w:r w:rsidRPr="0048396B">
        <w:rPr>
          <w:rFonts w:ascii="仿宋" w:eastAsia="仿宋" w:hAnsi="仿宋" w:hint="eastAsia"/>
        </w:rPr>
        <w:t>将承担项目整体规划及协调工作</w:t>
      </w:r>
      <w:r w:rsidR="000057BB" w:rsidRPr="0048396B">
        <w:rPr>
          <w:rFonts w:ascii="仿宋" w:eastAsia="仿宋" w:hAnsi="仿宋" w:hint="eastAsia"/>
        </w:rPr>
        <w:t>；管理人员协助采购人做好</w:t>
      </w:r>
      <w:r w:rsidR="00D60823">
        <w:rPr>
          <w:rFonts w:ascii="仿宋" w:eastAsia="仿宋" w:hAnsi="仿宋" w:hint="eastAsia"/>
        </w:rPr>
        <w:t>上述</w:t>
      </w:r>
      <w:r w:rsidR="000057BB" w:rsidRPr="0048396B">
        <w:rPr>
          <w:rFonts w:ascii="仿宋" w:eastAsia="仿宋" w:hAnsi="仿宋" w:hint="eastAsia"/>
        </w:rPr>
        <w:t>市场化交易工作及其他有关</w:t>
      </w:r>
      <w:r w:rsidR="004A05AE" w:rsidRPr="0048396B">
        <w:rPr>
          <w:rFonts w:ascii="仿宋" w:eastAsia="仿宋" w:hAnsi="仿宋" w:hint="eastAsia"/>
        </w:rPr>
        <w:t>全周期电力</w:t>
      </w:r>
      <w:r w:rsidR="002E509F" w:rsidRPr="0048396B">
        <w:rPr>
          <w:rFonts w:ascii="仿宋" w:eastAsia="仿宋" w:hAnsi="仿宋" w:hint="eastAsia"/>
        </w:rPr>
        <w:t>交易服务</w:t>
      </w:r>
      <w:r w:rsidR="000057BB" w:rsidRPr="0048396B">
        <w:rPr>
          <w:rFonts w:ascii="仿宋" w:eastAsia="仿宋" w:hAnsi="仿宋" w:hint="eastAsia"/>
        </w:rPr>
        <w:t>工作</w:t>
      </w:r>
      <w:r w:rsidR="001F46D3">
        <w:rPr>
          <w:rFonts w:ascii="仿宋" w:eastAsia="仿宋" w:hAnsi="仿宋" w:hint="eastAsia"/>
        </w:rPr>
        <w:t>等</w:t>
      </w:r>
      <w:r w:rsidR="000057BB" w:rsidRPr="0048396B">
        <w:rPr>
          <w:rFonts w:ascii="仿宋" w:eastAsia="仿宋" w:hAnsi="仿宋" w:hint="eastAsia"/>
        </w:rPr>
        <w:t>。</w:t>
      </w:r>
    </w:p>
    <w:sectPr w:rsidR="008C4E5E" w:rsidRPr="004839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3EA" w:rsidRDefault="002633EA" w:rsidP="00D34161">
      <w:r>
        <w:separator/>
      </w:r>
    </w:p>
  </w:endnote>
  <w:endnote w:type="continuationSeparator" w:id="0">
    <w:p w:rsidR="002633EA" w:rsidRDefault="002633EA" w:rsidP="00D3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3EA" w:rsidRDefault="002633EA" w:rsidP="00D34161">
      <w:r>
        <w:separator/>
      </w:r>
    </w:p>
  </w:footnote>
  <w:footnote w:type="continuationSeparator" w:id="0">
    <w:p w:rsidR="002633EA" w:rsidRDefault="002633EA" w:rsidP="00D341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5D46"/>
    <w:multiLevelType w:val="hybridMultilevel"/>
    <w:tmpl w:val="F8D0E832"/>
    <w:lvl w:ilvl="0" w:tplc="8252FF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8609B4"/>
    <w:multiLevelType w:val="hybridMultilevel"/>
    <w:tmpl w:val="F14A4B58"/>
    <w:lvl w:ilvl="0" w:tplc="8252FF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353196"/>
    <w:multiLevelType w:val="hybridMultilevel"/>
    <w:tmpl w:val="A5A072BA"/>
    <w:lvl w:ilvl="0" w:tplc="8252FF44">
      <w:start w:val="1"/>
      <w:numFmt w:val="decimal"/>
      <w:lvlText w:val="%1."/>
      <w:lvlJc w:val="left"/>
      <w:pPr>
        <w:ind w:left="360" w:hanging="360"/>
      </w:pPr>
      <w:rPr>
        <w:rFonts w:hint="default"/>
      </w:rPr>
    </w:lvl>
    <w:lvl w:ilvl="1" w:tplc="D06A05B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3A6375"/>
    <w:multiLevelType w:val="hybridMultilevel"/>
    <w:tmpl w:val="9EC2E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921801"/>
    <w:multiLevelType w:val="hybridMultilevel"/>
    <w:tmpl w:val="162E68BE"/>
    <w:lvl w:ilvl="0" w:tplc="8252FF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E43143"/>
    <w:multiLevelType w:val="hybridMultilevel"/>
    <w:tmpl w:val="163C42CC"/>
    <w:lvl w:ilvl="0" w:tplc="8252FF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180067F"/>
    <w:multiLevelType w:val="hybridMultilevel"/>
    <w:tmpl w:val="CA9093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1C7BC7"/>
    <w:multiLevelType w:val="hybridMultilevel"/>
    <w:tmpl w:val="C372A3B8"/>
    <w:lvl w:ilvl="0" w:tplc="8252FF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3A"/>
    <w:rsid w:val="000057BB"/>
    <w:rsid w:val="0002348F"/>
    <w:rsid w:val="00062575"/>
    <w:rsid w:val="000710D5"/>
    <w:rsid w:val="001E33E1"/>
    <w:rsid w:val="001F46D3"/>
    <w:rsid w:val="00212E6B"/>
    <w:rsid w:val="0021610F"/>
    <w:rsid w:val="002633EA"/>
    <w:rsid w:val="00290182"/>
    <w:rsid w:val="002B710F"/>
    <w:rsid w:val="002E509F"/>
    <w:rsid w:val="002F26D7"/>
    <w:rsid w:val="00327382"/>
    <w:rsid w:val="00351903"/>
    <w:rsid w:val="003A1709"/>
    <w:rsid w:val="0046504D"/>
    <w:rsid w:val="004736C2"/>
    <w:rsid w:val="0048396B"/>
    <w:rsid w:val="004935E4"/>
    <w:rsid w:val="004A05AE"/>
    <w:rsid w:val="004F08B7"/>
    <w:rsid w:val="0060369C"/>
    <w:rsid w:val="00746F34"/>
    <w:rsid w:val="007F6E93"/>
    <w:rsid w:val="00805C9B"/>
    <w:rsid w:val="00810F3E"/>
    <w:rsid w:val="008810FB"/>
    <w:rsid w:val="00897D90"/>
    <w:rsid w:val="008C3EC2"/>
    <w:rsid w:val="008C4E5E"/>
    <w:rsid w:val="00931F61"/>
    <w:rsid w:val="00981FB1"/>
    <w:rsid w:val="00990B4A"/>
    <w:rsid w:val="00A03BFB"/>
    <w:rsid w:val="00AE09C1"/>
    <w:rsid w:val="00B23663"/>
    <w:rsid w:val="00B360C0"/>
    <w:rsid w:val="00BB2026"/>
    <w:rsid w:val="00C350AE"/>
    <w:rsid w:val="00D34161"/>
    <w:rsid w:val="00D60823"/>
    <w:rsid w:val="00D7133A"/>
    <w:rsid w:val="00EA7CD1"/>
    <w:rsid w:val="00EC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ADF3F"/>
  <w15:chartTrackingRefBased/>
  <w15:docId w15:val="{C06DCA25-10CE-4796-ADEE-EC3B5FE7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C4E5E"/>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8C4E5E"/>
    <w:rPr>
      <w:rFonts w:asciiTheme="majorHAnsi" w:eastAsiaTheme="majorEastAsia" w:hAnsiTheme="majorHAnsi" w:cstheme="majorBidi"/>
      <w:b/>
      <w:bCs/>
      <w:sz w:val="32"/>
      <w:szCs w:val="32"/>
    </w:rPr>
  </w:style>
  <w:style w:type="paragraph" w:styleId="a5">
    <w:name w:val="List Paragraph"/>
    <w:basedOn w:val="a"/>
    <w:uiPriority w:val="34"/>
    <w:qFormat/>
    <w:rsid w:val="002B710F"/>
    <w:pPr>
      <w:ind w:firstLineChars="200" w:firstLine="420"/>
    </w:pPr>
  </w:style>
  <w:style w:type="paragraph" w:styleId="a6">
    <w:name w:val="header"/>
    <w:basedOn w:val="a"/>
    <w:link w:val="a7"/>
    <w:uiPriority w:val="99"/>
    <w:unhideWhenUsed/>
    <w:rsid w:val="00D3416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34161"/>
    <w:rPr>
      <w:sz w:val="18"/>
      <w:szCs w:val="18"/>
    </w:rPr>
  </w:style>
  <w:style w:type="paragraph" w:styleId="a8">
    <w:name w:val="footer"/>
    <w:basedOn w:val="a"/>
    <w:link w:val="a9"/>
    <w:uiPriority w:val="99"/>
    <w:unhideWhenUsed/>
    <w:rsid w:val="00D34161"/>
    <w:pPr>
      <w:tabs>
        <w:tab w:val="center" w:pos="4153"/>
        <w:tab w:val="right" w:pos="8306"/>
      </w:tabs>
      <w:snapToGrid w:val="0"/>
      <w:jc w:val="left"/>
    </w:pPr>
    <w:rPr>
      <w:sz w:val="18"/>
      <w:szCs w:val="18"/>
    </w:rPr>
  </w:style>
  <w:style w:type="character" w:customStyle="1" w:styleId="a9">
    <w:name w:val="页脚 字符"/>
    <w:basedOn w:val="a0"/>
    <w:link w:val="a8"/>
    <w:uiPriority w:val="99"/>
    <w:rsid w:val="00D341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2</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26</cp:revision>
  <dcterms:created xsi:type="dcterms:W3CDTF">2025-12-03T02:24:00Z</dcterms:created>
  <dcterms:modified xsi:type="dcterms:W3CDTF">2026-03-04T08:53:00Z</dcterms:modified>
</cp:coreProperties>
</file>