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F9FD" w14:textId="7471330B" w:rsidR="004B538B" w:rsidRPr="0066513D" w:rsidRDefault="0066513D" w:rsidP="0066513D">
      <w:pPr>
        <w:spacing w:afterLines="100" w:after="312"/>
        <w:jc w:val="center"/>
        <w:rPr>
          <w:rFonts w:ascii="黑体" w:eastAsia="黑体" w:hAnsi="黑体" w:hint="eastAsia"/>
          <w:b/>
          <w:bCs/>
          <w:sz w:val="44"/>
          <w:szCs w:val="44"/>
        </w:rPr>
      </w:pPr>
      <w:r w:rsidRPr="0066513D">
        <w:rPr>
          <w:rFonts w:ascii="黑体" w:eastAsia="黑体" w:hAnsi="黑体" w:hint="eastAsia"/>
          <w:b/>
          <w:bCs/>
          <w:sz w:val="44"/>
          <w:szCs w:val="44"/>
        </w:rPr>
        <w:t>中山大学附属第一（南沙）医院危险废物处理处置服务项目采购需求</w:t>
      </w:r>
    </w:p>
    <w:p w14:paraId="6561C5D5" w14:textId="69DF5F8C"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t>一、服务项目</w:t>
      </w:r>
    </w:p>
    <w:p w14:paraId="57B1D410" w14:textId="7280ECFE"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危险废物处理处置服务项目，合同期三年。</w:t>
      </w:r>
    </w:p>
    <w:p w14:paraId="368A83CC" w14:textId="6C216785"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t>二、服务地点</w:t>
      </w:r>
    </w:p>
    <w:p w14:paraId="42179068" w14:textId="05A13AA4"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中山大学附属第一（南沙）医院（广州市南沙区横</w:t>
      </w:r>
      <w:proofErr w:type="gramStart"/>
      <w:r w:rsidRPr="0066513D">
        <w:rPr>
          <w:rFonts w:ascii="仿宋" w:eastAsia="仿宋" w:hAnsi="仿宋" w:hint="eastAsia"/>
          <w:sz w:val="28"/>
          <w:szCs w:val="28"/>
        </w:rPr>
        <w:t>沥</w:t>
      </w:r>
      <w:proofErr w:type="gramEnd"/>
      <w:r w:rsidRPr="0066513D">
        <w:rPr>
          <w:rFonts w:ascii="仿宋" w:eastAsia="仿宋" w:hAnsi="仿宋" w:hint="eastAsia"/>
          <w:sz w:val="28"/>
          <w:szCs w:val="28"/>
        </w:rPr>
        <w:t>镇明珠湾起步区横</w:t>
      </w:r>
      <w:proofErr w:type="gramStart"/>
      <w:r w:rsidRPr="0066513D">
        <w:rPr>
          <w:rFonts w:ascii="仿宋" w:eastAsia="仿宋" w:hAnsi="仿宋" w:hint="eastAsia"/>
          <w:sz w:val="28"/>
          <w:szCs w:val="28"/>
        </w:rPr>
        <w:t>沥</w:t>
      </w:r>
      <w:proofErr w:type="gramEnd"/>
      <w:r w:rsidRPr="0066513D">
        <w:rPr>
          <w:rFonts w:ascii="仿宋" w:eastAsia="仿宋" w:hAnsi="仿宋" w:hint="eastAsia"/>
          <w:sz w:val="28"/>
          <w:szCs w:val="28"/>
        </w:rPr>
        <w:t>岛西侧），具体以采购人通知为准。</w:t>
      </w:r>
    </w:p>
    <w:p w14:paraId="4DF05B52" w14:textId="00FF7202"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t>三、服务内容</w:t>
      </w:r>
    </w:p>
    <w:p w14:paraId="47B69F06" w14:textId="673B45B1"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处理处置中山大学附属第一（南沙）医院产生的危险废物。</w:t>
      </w:r>
    </w:p>
    <w:p w14:paraId="1E8CBC0D" w14:textId="7F562AB5"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t>四、危险废物类别及计划处置量</w:t>
      </w:r>
    </w:p>
    <w:tbl>
      <w:tblPr>
        <w:tblStyle w:val="af2"/>
        <w:tblW w:w="0" w:type="auto"/>
        <w:tblLook w:val="04A0" w:firstRow="1" w:lastRow="0" w:firstColumn="1" w:lastColumn="0" w:noHBand="0" w:noVBand="1"/>
      </w:tblPr>
      <w:tblGrid>
        <w:gridCol w:w="2547"/>
        <w:gridCol w:w="2983"/>
        <w:gridCol w:w="2766"/>
      </w:tblGrid>
      <w:tr w:rsidR="0066513D" w:rsidRPr="0066513D" w14:paraId="3F469E80" w14:textId="77777777" w:rsidTr="0066513D">
        <w:tc>
          <w:tcPr>
            <w:tcW w:w="2547" w:type="dxa"/>
          </w:tcPr>
          <w:p w14:paraId="18286BDC" w14:textId="77777777"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废物类别</w:t>
            </w:r>
          </w:p>
        </w:tc>
        <w:tc>
          <w:tcPr>
            <w:tcW w:w="2983" w:type="dxa"/>
          </w:tcPr>
          <w:p w14:paraId="61BE9C87" w14:textId="77777777"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废物代码</w:t>
            </w:r>
          </w:p>
        </w:tc>
        <w:tc>
          <w:tcPr>
            <w:tcW w:w="2766" w:type="dxa"/>
          </w:tcPr>
          <w:p w14:paraId="6887DD6D" w14:textId="77777777"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计划处置量（吨）</w:t>
            </w:r>
          </w:p>
        </w:tc>
      </w:tr>
      <w:tr w:rsidR="0066513D" w:rsidRPr="0066513D" w14:paraId="107D1197" w14:textId="77777777" w:rsidTr="00CF1BAD">
        <w:tc>
          <w:tcPr>
            <w:tcW w:w="2547" w:type="dxa"/>
          </w:tcPr>
          <w:p w14:paraId="51DE76BB" w14:textId="77777777" w:rsid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实验室废液</w:t>
            </w:r>
          </w:p>
          <w:p w14:paraId="133B70AA" w14:textId="0051816A"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（含病理科）</w:t>
            </w:r>
          </w:p>
        </w:tc>
        <w:tc>
          <w:tcPr>
            <w:tcW w:w="2983" w:type="dxa"/>
            <w:vAlign w:val="center"/>
          </w:tcPr>
          <w:p w14:paraId="6A5DED44" w14:textId="77777777"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900-047-49</w:t>
            </w:r>
          </w:p>
        </w:tc>
        <w:tc>
          <w:tcPr>
            <w:tcW w:w="2766" w:type="dxa"/>
            <w:vAlign w:val="center"/>
          </w:tcPr>
          <w:p w14:paraId="30643CCB" w14:textId="1477C98A" w:rsidR="0066513D" w:rsidRPr="0066513D" w:rsidRDefault="00D85912" w:rsidP="00CF1BAD">
            <w:pPr>
              <w:jc w:val="center"/>
              <w:rPr>
                <w:rFonts w:ascii="仿宋" w:eastAsia="仿宋" w:hAnsi="仿宋" w:hint="eastAsia"/>
                <w:sz w:val="28"/>
                <w:szCs w:val="28"/>
              </w:rPr>
            </w:pPr>
            <w:r>
              <w:rPr>
                <w:rFonts w:ascii="仿宋" w:eastAsia="仿宋" w:hAnsi="仿宋" w:hint="eastAsia"/>
                <w:sz w:val="28"/>
                <w:szCs w:val="28"/>
              </w:rPr>
              <w:t>8.5</w:t>
            </w:r>
          </w:p>
        </w:tc>
      </w:tr>
      <w:tr w:rsidR="0066513D" w:rsidRPr="0066513D" w14:paraId="773C378A" w14:textId="77777777" w:rsidTr="0066513D">
        <w:tc>
          <w:tcPr>
            <w:tcW w:w="2547" w:type="dxa"/>
          </w:tcPr>
          <w:p w14:paraId="040364E0" w14:textId="77777777" w:rsidR="0066513D" w:rsidRPr="0066513D" w:rsidRDefault="0066513D" w:rsidP="0066513D">
            <w:pPr>
              <w:jc w:val="center"/>
              <w:rPr>
                <w:rFonts w:ascii="仿宋" w:eastAsia="仿宋" w:hAnsi="仿宋" w:hint="eastAsia"/>
                <w:sz w:val="28"/>
                <w:szCs w:val="28"/>
              </w:rPr>
            </w:pPr>
            <w:proofErr w:type="gramStart"/>
            <w:r w:rsidRPr="0066513D">
              <w:rPr>
                <w:rFonts w:ascii="仿宋" w:eastAsia="仿宋" w:hAnsi="仿宋" w:hint="eastAsia"/>
                <w:sz w:val="28"/>
                <w:szCs w:val="28"/>
              </w:rPr>
              <w:t>废空容器</w:t>
            </w:r>
            <w:proofErr w:type="gramEnd"/>
          </w:p>
        </w:tc>
        <w:tc>
          <w:tcPr>
            <w:tcW w:w="2983" w:type="dxa"/>
          </w:tcPr>
          <w:p w14:paraId="1141A00C" w14:textId="77777777" w:rsidR="0066513D" w:rsidRPr="0066513D" w:rsidRDefault="0066513D" w:rsidP="0066513D">
            <w:pPr>
              <w:jc w:val="center"/>
              <w:rPr>
                <w:rFonts w:ascii="仿宋" w:eastAsia="仿宋" w:hAnsi="仿宋" w:hint="eastAsia"/>
                <w:sz w:val="28"/>
                <w:szCs w:val="28"/>
              </w:rPr>
            </w:pPr>
            <w:r w:rsidRPr="0066513D">
              <w:rPr>
                <w:rFonts w:ascii="仿宋" w:eastAsia="仿宋" w:hAnsi="仿宋" w:hint="eastAsia"/>
                <w:sz w:val="28"/>
                <w:szCs w:val="28"/>
              </w:rPr>
              <w:t>900-041-49</w:t>
            </w:r>
          </w:p>
        </w:tc>
        <w:tc>
          <w:tcPr>
            <w:tcW w:w="2766" w:type="dxa"/>
          </w:tcPr>
          <w:p w14:paraId="1DA5A874" w14:textId="5EC43DEB" w:rsidR="0066513D" w:rsidRPr="0066513D" w:rsidRDefault="00D85912" w:rsidP="0066513D">
            <w:pPr>
              <w:jc w:val="center"/>
              <w:rPr>
                <w:rFonts w:ascii="仿宋" w:eastAsia="仿宋" w:hAnsi="仿宋" w:hint="eastAsia"/>
                <w:sz w:val="28"/>
                <w:szCs w:val="28"/>
              </w:rPr>
            </w:pPr>
            <w:r>
              <w:rPr>
                <w:rFonts w:ascii="仿宋" w:eastAsia="仿宋" w:hAnsi="仿宋" w:hint="eastAsia"/>
                <w:sz w:val="28"/>
                <w:szCs w:val="28"/>
              </w:rPr>
              <w:t>8.5</w:t>
            </w:r>
          </w:p>
        </w:tc>
      </w:tr>
      <w:tr w:rsidR="00C076B4" w:rsidRPr="0066513D" w14:paraId="4846A6BD" w14:textId="77777777" w:rsidTr="007223CF">
        <w:tc>
          <w:tcPr>
            <w:tcW w:w="2547" w:type="dxa"/>
          </w:tcPr>
          <w:p w14:paraId="49936281" w14:textId="77777777" w:rsidR="00C076B4" w:rsidRPr="0066513D" w:rsidRDefault="00C076B4" w:rsidP="007223CF">
            <w:pPr>
              <w:jc w:val="center"/>
              <w:rPr>
                <w:rFonts w:ascii="仿宋" w:eastAsia="仿宋" w:hAnsi="仿宋" w:hint="eastAsia"/>
                <w:sz w:val="28"/>
                <w:szCs w:val="28"/>
              </w:rPr>
            </w:pPr>
            <w:r w:rsidRPr="0066513D">
              <w:rPr>
                <w:rFonts w:ascii="仿宋" w:eastAsia="仿宋" w:hAnsi="仿宋" w:hint="eastAsia"/>
                <w:sz w:val="28"/>
                <w:szCs w:val="28"/>
              </w:rPr>
              <w:t>活性炭</w:t>
            </w:r>
          </w:p>
        </w:tc>
        <w:tc>
          <w:tcPr>
            <w:tcW w:w="2983" w:type="dxa"/>
          </w:tcPr>
          <w:p w14:paraId="3636D60A" w14:textId="77777777" w:rsidR="00C076B4" w:rsidRPr="0066513D" w:rsidRDefault="00C076B4" w:rsidP="007223CF">
            <w:pPr>
              <w:jc w:val="center"/>
              <w:rPr>
                <w:rFonts w:ascii="仿宋" w:eastAsia="仿宋" w:hAnsi="仿宋" w:hint="eastAsia"/>
                <w:sz w:val="28"/>
                <w:szCs w:val="28"/>
              </w:rPr>
            </w:pPr>
            <w:r w:rsidRPr="0066513D">
              <w:rPr>
                <w:rFonts w:ascii="仿宋" w:eastAsia="仿宋" w:hAnsi="仿宋" w:hint="eastAsia"/>
                <w:sz w:val="28"/>
                <w:szCs w:val="28"/>
              </w:rPr>
              <w:t>900-041-49</w:t>
            </w:r>
          </w:p>
        </w:tc>
        <w:tc>
          <w:tcPr>
            <w:tcW w:w="2766" w:type="dxa"/>
          </w:tcPr>
          <w:p w14:paraId="70BE1C0A" w14:textId="0FD25D79" w:rsidR="00C076B4" w:rsidRPr="0066513D" w:rsidRDefault="00CF1BAD" w:rsidP="007223CF">
            <w:pPr>
              <w:jc w:val="center"/>
              <w:rPr>
                <w:rFonts w:ascii="仿宋" w:eastAsia="仿宋" w:hAnsi="仿宋" w:hint="eastAsia"/>
                <w:sz w:val="28"/>
                <w:szCs w:val="28"/>
              </w:rPr>
            </w:pPr>
            <w:r>
              <w:rPr>
                <w:rFonts w:ascii="仿宋" w:eastAsia="仿宋" w:hAnsi="仿宋" w:hint="eastAsia"/>
                <w:sz w:val="28"/>
                <w:szCs w:val="28"/>
              </w:rPr>
              <w:t>3</w:t>
            </w:r>
          </w:p>
        </w:tc>
      </w:tr>
    </w:tbl>
    <w:p w14:paraId="69E57106" w14:textId="5DE36163"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t>五、服务单位资质要求：</w:t>
      </w:r>
    </w:p>
    <w:p w14:paraId="0E0E3BE3" w14:textId="09CAB94C"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1.报价单位需具备危险废物经营许可证，且满足处理处置我院要求的危险废物类别的资质。</w:t>
      </w:r>
    </w:p>
    <w:p w14:paraId="7D04DFB4" w14:textId="08817EC9"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2.具备运输危险废物的能力，自身具备危险废物运输道路运输经营许可证或者由第三</w:t>
      </w:r>
      <w:proofErr w:type="gramStart"/>
      <w:r w:rsidRPr="0066513D">
        <w:rPr>
          <w:rFonts w:ascii="仿宋" w:eastAsia="仿宋" w:hAnsi="仿宋" w:hint="eastAsia"/>
          <w:sz w:val="28"/>
          <w:szCs w:val="28"/>
        </w:rPr>
        <w:t>方运输</w:t>
      </w:r>
      <w:proofErr w:type="gramEnd"/>
      <w:r w:rsidRPr="0066513D">
        <w:rPr>
          <w:rFonts w:ascii="仿宋" w:eastAsia="仿宋" w:hAnsi="仿宋" w:hint="eastAsia"/>
          <w:sz w:val="28"/>
          <w:szCs w:val="28"/>
        </w:rPr>
        <w:t>的均可。其中由第三</w:t>
      </w:r>
      <w:proofErr w:type="gramStart"/>
      <w:r w:rsidRPr="0066513D">
        <w:rPr>
          <w:rFonts w:ascii="仿宋" w:eastAsia="仿宋" w:hAnsi="仿宋" w:hint="eastAsia"/>
          <w:sz w:val="28"/>
          <w:szCs w:val="28"/>
        </w:rPr>
        <w:t>方运输</w:t>
      </w:r>
      <w:proofErr w:type="gramEnd"/>
      <w:r w:rsidRPr="0066513D">
        <w:rPr>
          <w:rFonts w:ascii="仿宋" w:eastAsia="仿宋" w:hAnsi="仿宋" w:hint="eastAsia"/>
          <w:sz w:val="28"/>
          <w:szCs w:val="28"/>
        </w:rPr>
        <w:t>的，需提供双方签订的运输合同。</w:t>
      </w:r>
    </w:p>
    <w:p w14:paraId="3F06FC98" w14:textId="01E54E45" w:rsidR="0066513D" w:rsidRPr="0066513D" w:rsidRDefault="0066513D" w:rsidP="0066513D">
      <w:pPr>
        <w:rPr>
          <w:rFonts w:ascii="仿宋" w:eastAsia="仿宋" w:hAnsi="仿宋" w:hint="eastAsia"/>
          <w:sz w:val="28"/>
          <w:szCs w:val="28"/>
        </w:rPr>
      </w:pPr>
      <w:r w:rsidRPr="0066513D">
        <w:rPr>
          <w:rFonts w:ascii="仿宋" w:eastAsia="仿宋" w:hAnsi="仿宋" w:hint="eastAsia"/>
          <w:sz w:val="28"/>
          <w:szCs w:val="28"/>
        </w:rPr>
        <w:lastRenderedPageBreak/>
        <w:t>六、处理处置要求：</w:t>
      </w:r>
    </w:p>
    <w:p w14:paraId="6837F816" w14:textId="23BC0D28"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1.企业需严格执行环保相关法律、法规，守法经营，安全处理处置危险废物。</w:t>
      </w:r>
    </w:p>
    <w:p w14:paraId="06F5FF00"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2.根据院方提供的废物类别，企业应清楚本项目的废物的特点和性质、</w:t>
      </w:r>
      <w:proofErr w:type="gramStart"/>
      <w:r w:rsidRPr="0066513D">
        <w:rPr>
          <w:rFonts w:ascii="仿宋" w:eastAsia="仿宋" w:hAnsi="仿宋" w:hint="eastAsia"/>
          <w:sz w:val="28"/>
          <w:szCs w:val="28"/>
        </w:rPr>
        <w:t>由危险</w:t>
      </w:r>
      <w:proofErr w:type="gramEnd"/>
      <w:r w:rsidRPr="0066513D">
        <w:rPr>
          <w:rFonts w:ascii="仿宋" w:eastAsia="仿宋" w:hAnsi="仿宋" w:hint="eastAsia"/>
          <w:sz w:val="28"/>
          <w:szCs w:val="28"/>
        </w:rPr>
        <w:t>废物或处理程序所导致或引起的健康、安全和环境危害。</w:t>
      </w:r>
    </w:p>
    <w:p w14:paraId="241B75FF"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3.企业负责废物的运输：</w:t>
      </w:r>
    </w:p>
    <w:p w14:paraId="7A778CF0"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①运输的车辆必须车况良好，采取符合安全、环保标准的相关措施，适于运输本项目规定的危险废物。</w:t>
      </w:r>
    </w:p>
    <w:p w14:paraId="1E60F9BC"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②企业根据院方的生产情况和废物的产生情况，双方议定运输时间，企业在运输时间内自备运输车辆和装卸人员到院方指定的地点收取废物，保证不积存，不影响院方生产。在院方的危险废物严重影响生产或其他特殊情况出现时，院方可提前3个工作日通知企业前来收取危险废物，企业应予以积极配合。</w:t>
      </w:r>
    </w:p>
    <w:p w14:paraId="434C9F25"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③运输车辆的司机与装卸员工，在院方院区内应安全文明作业，遵守院方的安全卫生制度等各项管理制度。</w:t>
      </w:r>
    </w:p>
    <w:p w14:paraId="35028752" w14:textId="7777777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④企业在运输过程中不得沿途丢弃、遗撒废物。</w:t>
      </w:r>
    </w:p>
    <w:p w14:paraId="69B6961A" w14:textId="637EAF67" w:rsidR="0066513D" w:rsidRPr="0066513D" w:rsidRDefault="0066513D" w:rsidP="0066513D">
      <w:pPr>
        <w:ind w:firstLineChars="200" w:firstLine="560"/>
        <w:rPr>
          <w:rFonts w:ascii="仿宋" w:eastAsia="仿宋" w:hAnsi="仿宋" w:hint="eastAsia"/>
          <w:sz w:val="28"/>
          <w:szCs w:val="28"/>
        </w:rPr>
      </w:pPr>
      <w:r w:rsidRPr="0066513D">
        <w:rPr>
          <w:rFonts w:ascii="仿宋" w:eastAsia="仿宋" w:hAnsi="仿宋" w:hint="eastAsia"/>
          <w:sz w:val="28"/>
          <w:szCs w:val="28"/>
        </w:rPr>
        <w:t>4.企业在危险废物无害化处理过程中，应该符合国家法律规定的环保和消防要求或标准，并接受院方的监督和指导。</w:t>
      </w:r>
    </w:p>
    <w:sectPr w:rsidR="0066513D" w:rsidRPr="006651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CC7F" w14:textId="77777777" w:rsidR="006455FD" w:rsidRDefault="006455FD" w:rsidP="0066513D">
      <w:pPr>
        <w:rPr>
          <w:rFonts w:hint="eastAsia"/>
        </w:rPr>
      </w:pPr>
      <w:r>
        <w:separator/>
      </w:r>
    </w:p>
  </w:endnote>
  <w:endnote w:type="continuationSeparator" w:id="0">
    <w:p w14:paraId="33DFC9C0" w14:textId="77777777" w:rsidR="006455FD" w:rsidRDefault="006455FD" w:rsidP="006651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0168" w14:textId="77777777" w:rsidR="006455FD" w:rsidRDefault="006455FD" w:rsidP="0066513D">
      <w:pPr>
        <w:rPr>
          <w:rFonts w:hint="eastAsia"/>
        </w:rPr>
      </w:pPr>
      <w:r>
        <w:separator/>
      </w:r>
    </w:p>
  </w:footnote>
  <w:footnote w:type="continuationSeparator" w:id="0">
    <w:p w14:paraId="51DCECD4" w14:textId="77777777" w:rsidR="006455FD" w:rsidRDefault="006455FD" w:rsidP="006651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D"/>
    <w:rsid w:val="00090DA8"/>
    <w:rsid w:val="004B538B"/>
    <w:rsid w:val="004B6D7D"/>
    <w:rsid w:val="00535203"/>
    <w:rsid w:val="00555331"/>
    <w:rsid w:val="006455FD"/>
    <w:rsid w:val="0066513D"/>
    <w:rsid w:val="006B716A"/>
    <w:rsid w:val="00C076B4"/>
    <w:rsid w:val="00CB40FA"/>
    <w:rsid w:val="00CF1BAD"/>
    <w:rsid w:val="00D85912"/>
    <w:rsid w:val="00DE20B3"/>
    <w:rsid w:val="00EF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4444"/>
  <w15:chartTrackingRefBased/>
  <w15:docId w15:val="{9C81B5E8-92CF-4E46-9947-400C5E6F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6D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B6D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B6D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B6D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B6D7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B6D7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B6D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D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B6D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D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B6D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B6D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B6D7D"/>
    <w:rPr>
      <w:rFonts w:cstheme="majorBidi"/>
      <w:color w:val="0F4761" w:themeColor="accent1" w:themeShade="BF"/>
      <w:sz w:val="28"/>
      <w:szCs w:val="28"/>
    </w:rPr>
  </w:style>
  <w:style w:type="character" w:customStyle="1" w:styleId="50">
    <w:name w:val="标题 5 字符"/>
    <w:basedOn w:val="a0"/>
    <w:link w:val="5"/>
    <w:uiPriority w:val="9"/>
    <w:semiHidden/>
    <w:rsid w:val="004B6D7D"/>
    <w:rPr>
      <w:rFonts w:cstheme="majorBidi"/>
      <w:color w:val="0F4761" w:themeColor="accent1" w:themeShade="BF"/>
      <w:sz w:val="24"/>
      <w:szCs w:val="24"/>
    </w:rPr>
  </w:style>
  <w:style w:type="character" w:customStyle="1" w:styleId="60">
    <w:name w:val="标题 6 字符"/>
    <w:basedOn w:val="a0"/>
    <w:link w:val="6"/>
    <w:uiPriority w:val="9"/>
    <w:semiHidden/>
    <w:rsid w:val="004B6D7D"/>
    <w:rPr>
      <w:rFonts w:cstheme="majorBidi"/>
      <w:b/>
      <w:bCs/>
      <w:color w:val="0F4761" w:themeColor="accent1" w:themeShade="BF"/>
    </w:rPr>
  </w:style>
  <w:style w:type="character" w:customStyle="1" w:styleId="70">
    <w:name w:val="标题 7 字符"/>
    <w:basedOn w:val="a0"/>
    <w:link w:val="7"/>
    <w:uiPriority w:val="9"/>
    <w:semiHidden/>
    <w:rsid w:val="004B6D7D"/>
    <w:rPr>
      <w:rFonts w:cstheme="majorBidi"/>
      <w:b/>
      <w:bCs/>
      <w:color w:val="595959" w:themeColor="text1" w:themeTint="A6"/>
    </w:rPr>
  </w:style>
  <w:style w:type="character" w:customStyle="1" w:styleId="80">
    <w:name w:val="标题 8 字符"/>
    <w:basedOn w:val="a0"/>
    <w:link w:val="8"/>
    <w:uiPriority w:val="9"/>
    <w:semiHidden/>
    <w:rsid w:val="004B6D7D"/>
    <w:rPr>
      <w:rFonts w:cstheme="majorBidi"/>
      <w:color w:val="595959" w:themeColor="text1" w:themeTint="A6"/>
    </w:rPr>
  </w:style>
  <w:style w:type="character" w:customStyle="1" w:styleId="90">
    <w:name w:val="标题 9 字符"/>
    <w:basedOn w:val="a0"/>
    <w:link w:val="9"/>
    <w:uiPriority w:val="9"/>
    <w:semiHidden/>
    <w:rsid w:val="004B6D7D"/>
    <w:rPr>
      <w:rFonts w:eastAsiaTheme="majorEastAsia" w:cstheme="majorBidi"/>
      <w:color w:val="595959" w:themeColor="text1" w:themeTint="A6"/>
    </w:rPr>
  </w:style>
  <w:style w:type="paragraph" w:styleId="a3">
    <w:name w:val="Title"/>
    <w:basedOn w:val="a"/>
    <w:next w:val="a"/>
    <w:link w:val="a4"/>
    <w:uiPriority w:val="10"/>
    <w:qFormat/>
    <w:rsid w:val="004B6D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D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D7D"/>
    <w:pPr>
      <w:spacing w:before="160" w:after="160"/>
      <w:jc w:val="center"/>
    </w:pPr>
    <w:rPr>
      <w:i/>
      <w:iCs/>
      <w:color w:val="404040" w:themeColor="text1" w:themeTint="BF"/>
    </w:rPr>
  </w:style>
  <w:style w:type="character" w:customStyle="1" w:styleId="a8">
    <w:name w:val="引用 字符"/>
    <w:basedOn w:val="a0"/>
    <w:link w:val="a7"/>
    <w:uiPriority w:val="29"/>
    <w:rsid w:val="004B6D7D"/>
    <w:rPr>
      <w:i/>
      <w:iCs/>
      <w:color w:val="404040" w:themeColor="text1" w:themeTint="BF"/>
    </w:rPr>
  </w:style>
  <w:style w:type="paragraph" w:styleId="a9">
    <w:name w:val="List Paragraph"/>
    <w:basedOn w:val="a"/>
    <w:uiPriority w:val="34"/>
    <w:qFormat/>
    <w:rsid w:val="004B6D7D"/>
    <w:pPr>
      <w:ind w:left="720"/>
      <w:contextualSpacing/>
    </w:pPr>
  </w:style>
  <w:style w:type="character" w:styleId="aa">
    <w:name w:val="Intense Emphasis"/>
    <w:basedOn w:val="a0"/>
    <w:uiPriority w:val="21"/>
    <w:qFormat/>
    <w:rsid w:val="004B6D7D"/>
    <w:rPr>
      <w:i/>
      <w:iCs/>
      <w:color w:val="0F4761" w:themeColor="accent1" w:themeShade="BF"/>
    </w:rPr>
  </w:style>
  <w:style w:type="paragraph" w:styleId="ab">
    <w:name w:val="Intense Quote"/>
    <w:basedOn w:val="a"/>
    <w:next w:val="a"/>
    <w:link w:val="ac"/>
    <w:uiPriority w:val="30"/>
    <w:qFormat/>
    <w:rsid w:val="004B6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B6D7D"/>
    <w:rPr>
      <w:i/>
      <w:iCs/>
      <w:color w:val="0F4761" w:themeColor="accent1" w:themeShade="BF"/>
    </w:rPr>
  </w:style>
  <w:style w:type="character" w:styleId="ad">
    <w:name w:val="Intense Reference"/>
    <w:basedOn w:val="a0"/>
    <w:uiPriority w:val="32"/>
    <w:qFormat/>
    <w:rsid w:val="004B6D7D"/>
    <w:rPr>
      <w:b/>
      <w:bCs/>
      <w:smallCaps/>
      <w:color w:val="0F4761" w:themeColor="accent1" w:themeShade="BF"/>
      <w:spacing w:val="5"/>
    </w:rPr>
  </w:style>
  <w:style w:type="paragraph" w:styleId="ae">
    <w:name w:val="header"/>
    <w:basedOn w:val="a"/>
    <w:link w:val="af"/>
    <w:uiPriority w:val="99"/>
    <w:unhideWhenUsed/>
    <w:rsid w:val="0066513D"/>
    <w:pPr>
      <w:tabs>
        <w:tab w:val="center" w:pos="4153"/>
        <w:tab w:val="right" w:pos="8306"/>
      </w:tabs>
      <w:snapToGrid w:val="0"/>
      <w:jc w:val="center"/>
    </w:pPr>
    <w:rPr>
      <w:sz w:val="18"/>
      <w:szCs w:val="18"/>
    </w:rPr>
  </w:style>
  <w:style w:type="character" w:customStyle="1" w:styleId="af">
    <w:name w:val="页眉 字符"/>
    <w:basedOn w:val="a0"/>
    <w:link w:val="ae"/>
    <w:uiPriority w:val="99"/>
    <w:rsid w:val="0066513D"/>
    <w:rPr>
      <w:sz w:val="18"/>
      <w:szCs w:val="18"/>
    </w:rPr>
  </w:style>
  <w:style w:type="paragraph" w:styleId="af0">
    <w:name w:val="footer"/>
    <w:basedOn w:val="a"/>
    <w:link w:val="af1"/>
    <w:uiPriority w:val="99"/>
    <w:unhideWhenUsed/>
    <w:rsid w:val="0066513D"/>
    <w:pPr>
      <w:tabs>
        <w:tab w:val="center" w:pos="4153"/>
        <w:tab w:val="right" w:pos="8306"/>
      </w:tabs>
      <w:snapToGrid w:val="0"/>
      <w:jc w:val="left"/>
    </w:pPr>
    <w:rPr>
      <w:sz w:val="18"/>
      <w:szCs w:val="18"/>
    </w:rPr>
  </w:style>
  <w:style w:type="character" w:customStyle="1" w:styleId="af1">
    <w:name w:val="页脚 字符"/>
    <w:basedOn w:val="a0"/>
    <w:link w:val="af0"/>
    <w:uiPriority w:val="99"/>
    <w:rsid w:val="0066513D"/>
    <w:rPr>
      <w:sz w:val="18"/>
      <w:szCs w:val="18"/>
    </w:rPr>
  </w:style>
  <w:style w:type="table" w:styleId="af2">
    <w:name w:val="Table Grid"/>
    <w:basedOn w:val="a1"/>
    <w:uiPriority w:val="39"/>
    <w:rsid w:val="0066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dc:creator>
  <cp:keywords/>
  <dc:description/>
  <cp:lastModifiedBy>his</cp:lastModifiedBy>
  <cp:revision>5</cp:revision>
  <dcterms:created xsi:type="dcterms:W3CDTF">2026-03-05T06:13:00Z</dcterms:created>
  <dcterms:modified xsi:type="dcterms:W3CDTF">2026-03-10T07:36:00Z</dcterms:modified>
</cp:coreProperties>
</file>