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B41C">
      <w:pPr>
        <w:spacing w:line="360" w:lineRule="auto"/>
        <w:jc w:val="center"/>
        <w:rPr>
          <w:rFonts w:ascii="方正小标宋简体" w:hAnsi="方正公文小标宋" w:eastAsia="方正小标宋简体" w:cs="方正公文小标宋"/>
          <w:b/>
          <w:color w:val="auto"/>
          <w:sz w:val="36"/>
        </w:rPr>
      </w:pPr>
      <w:r>
        <w:rPr>
          <w:rFonts w:hint="eastAsia" w:ascii="方正小标宋简体" w:hAnsi="方正公文小标宋" w:eastAsia="方正小标宋简体" w:cs="方正公文小标宋"/>
          <w:b/>
          <w:color w:val="auto"/>
          <w:sz w:val="36"/>
        </w:rPr>
        <w:t>何善衡楼4楼呼吸诊断介入中心医用吊塔采购与安装项目参数配置要求</w:t>
      </w:r>
    </w:p>
    <w:p w14:paraId="14868EBC">
      <w:pPr>
        <w:spacing w:line="360" w:lineRule="auto"/>
        <w:jc w:val="center"/>
        <w:rPr>
          <w:rFonts w:ascii="宋体" w:hAnsi="宋体" w:cs="宋体"/>
          <w:b/>
          <w:color w:val="auto"/>
          <w:sz w:val="44"/>
          <w:szCs w:val="44"/>
        </w:rPr>
      </w:pPr>
    </w:p>
    <w:p w14:paraId="091E7FD1">
      <w:pPr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一、双臂吊塔参数配置要求</w:t>
      </w:r>
    </w:p>
    <w:p w14:paraId="721A2D45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吊塔主体材料为≥</w:t>
      </w:r>
      <w:r>
        <w:rPr>
          <w:rFonts w:ascii="宋体" w:hAnsi="宋体" w:cs="宋体"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</w:rPr>
        <w:t>系高强度铝合金，抗金属疲劳强度高，一体成型，全封闭式设计，表面无锐角，无外露螺钉。</w:t>
      </w:r>
    </w:p>
    <w:p w14:paraId="7147A0AE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吊塔表面喷塑采用环保抗菌粉末，具有表面抑制细菌再生作用，大肠杆菌及金黄色葡萄球菌抗菌率≥99.9%。（提供第三方具有CMA或CNAS资质的机构出具的第三方检测报告）</w:t>
      </w:r>
    </w:p>
    <w:p w14:paraId="63EC33B6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吊塔外壳涂膜通过附着力测试，附着力等级数值≤0。</w:t>
      </w:r>
    </w:p>
    <w:p w14:paraId="7788BABC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吊塔外壳通过中性盐雾试验，外观评价等级数值≥10。</w:t>
      </w:r>
    </w:p>
    <w:p w14:paraId="5370B488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▲吊塔基础架负载≥10000N˙m的作用力持续≥10min，法兰盘水平倾斜角≤0.6°。（提供第三方具有CMA或CNAS资质的机构出具的第三方检测报告）</w:t>
      </w:r>
    </w:p>
    <w:p w14:paraId="25CAB760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吊塔通过≥200N的动态冲击力测试，带电部位不可触及且设备完好。（提供第三方具有CMA或CNAS资质的机构出具的第三方检测报告）</w:t>
      </w:r>
    </w:p>
    <w:p w14:paraId="6CE99BEA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▲吊塔最大承重≥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320</w:t>
      </w:r>
      <w:r>
        <w:rPr>
          <w:rFonts w:hint="eastAsia" w:ascii="宋体" w:hAnsi="宋体" w:cs="宋体"/>
          <w:color w:val="auto"/>
          <w:szCs w:val="21"/>
        </w:rPr>
        <w:t>KG，通过最大承重的4倍负载测试。（提供第三方具有CMA或CNAS资质的机构出具的第三方检测报告）</w:t>
      </w:r>
    </w:p>
    <w:p w14:paraId="590F4922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吊塔关节旋转角度≥330度，具有良好的限位系统。</w:t>
      </w:r>
    </w:p>
    <w:p w14:paraId="3A757132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吊塔上承载的设备的电源线路及气源管路和塔体之间没有相对移动，所有电源线路及气源管路必须在塔体内不能外露，保证吊塔在移动过程中，不会因位置的改变导致线路脱落的意外发生。</w:t>
      </w:r>
    </w:p>
    <w:p w14:paraId="340107F0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▲吊塔内部采用气电分离式设计，以保证使用安全。</w:t>
      </w:r>
    </w:p>
    <w:p w14:paraId="619C3817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吊塔气电箱体底板具有开孔，在模拟氧气泄露流量为≥1L/min时，腔体内部的氧气浓度≤25%。</w:t>
      </w:r>
    </w:p>
    <w:p w14:paraId="4120C756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▲气体终端要求：气体终端为德式，终端上必须印有明显的气体种类标识，具有原位待接通状态功能，可带气维修，气体插座可插拔≥5万次，符合YY 0801.1-2010 《医用气体管道系统终端 第 1 部分：用于压缩医用气体和真空的终端》规范要求，气体终端推荐品牌为捷仪、捷工、捷锐、德尔格、迈柯唯。（提供第三方具有CMA或CNAS资质的机构出具的第三方检测报告）</w:t>
      </w:r>
    </w:p>
    <w:p w14:paraId="218C072F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▲吊塔内部电源模块符合国家电气设备标准，不采用内嵌式的电插座，电源插座推荐品牌为施耐德、西门子、松本、罗格朗、ABB。</w:t>
      </w:r>
    </w:p>
    <w:p w14:paraId="13FC60DB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▲吊塔内部网络模块符合六类非屏蔽双绞线性能要求，需采用六类非屏蔽模块接口，网络模块推荐品牌为康普、西蒙、康宁、罗格朗、ABB。</w:t>
      </w:r>
    </w:p>
    <w:p w14:paraId="541C6FAC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吊塔的医用气体管道系统需按规范要求进行气压试验，不得出现明显漏气或破裂现象。</w:t>
      </w:r>
    </w:p>
    <w:p w14:paraId="003FC68E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▲吊塔内部的医用气体管道系统采用医用软管，三层结构，经过皮肤致敏试验后，皮肤无致敏现象。(提供相关检测资料或具有CMA或CNAS资质的第三方检测报告)</w:t>
      </w:r>
    </w:p>
    <w:p w14:paraId="107D426B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托盘为铝合金材质，一体成型，纯平设计，表面无螺钉，配备一体化抽拉式键盘托；抽屉采用抽拉式，自带吸合功能。</w:t>
      </w:r>
    </w:p>
    <w:p w14:paraId="3069B992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吊塔外壳的防火等级数值≤UL94-V1。</w:t>
      </w:r>
    </w:p>
    <w:p w14:paraId="6300E071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吊塔外观件具有耐黄变性能，可耐受紫外线照射72h，外观无明显异常。</w:t>
      </w:r>
    </w:p>
    <w:p w14:paraId="33AF370D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吊塔外观件可耐受以下消毒剂：戊二醛 2%、乙醇 70%、双氧水 3%，不发生变色开裂等外观破损现象。</w:t>
      </w:r>
    </w:p>
    <w:p w14:paraId="63DFCC0E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吊塔在正常工作过程中噪声≤ 30dB（A）。</w:t>
      </w:r>
    </w:p>
    <w:p w14:paraId="10AF658D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▲吊塔内部应按要求配置接地线，避免金属外壳漏电，保护接地端子与任何已保护接地部件之间的阻抗，必须≤100mΩ。</w:t>
      </w: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提供承诺函</w:t>
      </w:r>
      <w:r>
        <w:rPr>
          <w:rFonts w:hint="eastAsia" w:ascii="宋体" w:hAnsi="宋体" w:cs="宋体"/>
          <w:color w:val="auto"/>
          <w:szCs w:val="21"/>
          <w:lang w:eastAsia="zh-CN"/>
        </w:rPr>
        <w:t>）</w:t>
      </w:r>
    </w:p>
    <w:p w14:paraId="03CE5E61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▲吊塔符合GB/T 43952-2024《医用供应装置》标准。（提供第三方具有CMA或CNAS资质的机构出具的第三方检测报告）</w:t>
      </w:r>
    </w:p>
    <w:p w14:paraId="62793F59">
      <w:pPr>
        <w:pStyle w:val="9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吊塔使用期限≥10年。</w:t>
      </w: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提供承诺函</w:t>
      </w:r>
      <w:r>
        <w:rPr>
          <w:rFonts w:hint="eastAsia" w:ascii="宋体" w:hAnsi="宋体" w:cs="宋体"/>
          <w:color w:val="auto"/>
          <w:szCs w:val="21"/>
          <w:lang w:eastAsia="zh-CN"/>
        </w:rPr>
        <w:t>）</w:t>
      </w:r>
    </w:p>
    <w:p w14:paraId="1F076D95">
      <w:pPr>
        <w:pStyle w:val="9"/>
        <w:spacing w:line="360" w:lineRule="auto"/>
        <w:ind w:firstLine="0"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25.</w:t>
      </w:r>
      <w:bookmarkStart w:id="0" w:name="_GoBack"/>
      <w:bookmarkEnd w:id="0"/>
      <w:r>
        <w:rPr>
          <w:rFonts w:hint="eastAsia" w:ascii="宋体" w:hAnsi="宋体" w:cs="宋体"/>
          <w:color w:val="auto"/>
          <w:szCs w:val="21"/>
        </w:rPr>
        <w:t>吊塔配置要求/套：</w:t>
      </w:r>
    </w:p>
    <w:p w14:paraId="7B03A566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机械双悬臂（长度≥700mm+700mm） </w:t>
      </w:r>
      <w:r>
        <w:rPr>
          <w:rFonts w:ascii="宋体" w:hAnsi="宋体" w:cs="宋体"/>
          <w:color w:val="auto"/>
          <w:szCs w:val="21"/>
        </w:rPr>
        <w:t xml:space="preserve">            </w:t>
      </w:r>
      <w:r>
        <w:rPr>
          <w:rFonts w:hint="eastAsia" w:ascii="宋体" w:hAnsi="宋体" w:cs="宋体"/>
          <w:color w:val="auto"/>
          <w:szCs w:val="21"/>
        </w:rPr>
        <w:t xml:space="preserve"> 1套</w:t>
      </w:r>
    </w:p>
    <w:p w14:paraId="55ED23B4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吊柱式气电箱 (≥1000mm，带一键电源开关)      1套</w:t>
      </w:r>
    </w:p>
    <w:p w14:paraId="057F8E94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托盘（</w:t>
      </w:r>
      <w:r>
        <w:rPr>
          <w:rFonts w:hint="eastAsia" w:ascii="宋体" w:hAnsi="宋体" w:cs="宋体"/>
          <w:color w:val="auto"/>
          <w:szCs w:val="21"/>
        </w:rPr>
        <w:t>≥500mm*480mm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）                 </w:t>
      </w:r>
      <w:r>
        <w:rPr>
          <w:rFonts w:ascii="宋体" w:hAnsi="宋体" w:cs="宋体"/>
          <w:color w:val="auto"/>
          <w:kern w:val="0"/>
          <w:szCs w:val="21"/>
        </w:rPr>
        <w:t xml:space="preserve">       </w:t>
      </w:r>
      <w:r>
        <w:rPr>
          <w:rFonts w:hint="eastAsia" w:ascii="宋体" w:hAnsi="宋体" w:cs="宋体"/>
          <w:color w:val="auto"/>
          <w:kern w:val="0"/>
          <w:szCs w:val="21"/>
        </w:rPr>
        <w:t>4层</w:t>
      </w:r>
    </w:p>
    <w:p w14:paraId="098D839C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键盘托                                       1套</w:t>
      </w:r>
    </w:p>
    <w:p w14:paraId="14FEA1DC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抽屉                                      </w:t>
      </w:r>
      <w:r>
        <w:rPr>
          <w:rFonts w:ascii="宋体" w:hAnsi="宋体" w:cs="宋体"/>
          <w:color w:val="auto"/>
          <w:szCs w:val="21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>1个</w:t>
      </w:r>
    </w:p>
    <w:p w14:paraId="07943284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双关节延伸臂及输液架 </w:t>
      </w:r>
      <w:r>
        <w:rPr>
          <w:rFonts w:ascii="宋体" w:hAnsi="宋体" w:cs="宋体"/>
          <w:color w:val="auto"/>
          <w:szCs w:val="21"/>
        </w:rPr>
        <w:t xml:space="preserve">                        1</w:t>
      </w:r>
      <w:r>
        <w:rPr>
          <w:rFonts w:hint="eastAsia" w:ascii="宋体" w:hAnsi="宋体" w:cs="宋体"/>
          <w:color w:val="auto"/>
          <w:szCs w:val="21"/>
        </w:rPr>
        <w:t>套</w:t>
      </w:r>
    </w:p>
    <w:p w14:paraId="5B62B144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内镜杯托                                     2个</w:t>
      </w:r>
    </w:p>
    <w:p w14:paraId="74376A32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气体终端（德标，氧气</w:t>
      </w:r>
      <w:r>
        <w:rPr>
          <w:rFonts w:ascii="宋体" w:hAnsi="宋体" w:cs="宋体"/>
          <w:color w:val="auto"/>
          <w:kern w:val="0"/>
          <w:szCs w:val="21"/>
        </w:rPr>
        <w:t>2</w:t>
      </w:r>
      <w:r>
        <w:rPr>
          <w:rFonts w:hint="eastAsia" w:ascii="宋体" w:hAnsi="宋体" w:cs="宋体"/>
          <w:color w:val="auto"/>
          <w:kern w:val="0"/>
          <w:szCs w:val="21"/>
        </w:rPr>
        <w:t>个，负压吸引2个，空气</w:t>
      </w:r>
      <w:r>
        <w:rPr>
          <w:rFonts w:ascii="宋体" w:hAnsi="宋体" w:cs="宋体"/>
          <w:color w:val="auto"/>
          <w:kern w:val="0"/>
          <w:szCs w:val="21"/>
        </w:rPr>
        <w:t>1</w:t>
      </w:r>
      <w:r>
        <w:rPr>
          <w:rFonts w:hint="eastAsia" w:ascii="宋体" w:hAnsi="宋体" w:cs="宋体"/>
          <w:color w:val="auto"/>
          <w:kern w:val="0"/>
          <w:szCs w:val="21"/>
        </w:rPr>
        <w:t>个）</w:t>
      </w:r>
    </w:p>
    <w:p w14:paraId="0CF200F8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10A国标电源插座</w:t>
      </w:r>
      <w:r>
        <w:rPr>
          <w:rFonts w:ascii="宋体" w:hAnsi="宋体" w:cs="宋体"/>
          <w:color w:val="auto"/>
          <w:szCs w:val="21"/>
        </w:rPr>
        <w:tab/>
      </w:r>
      <w:r>
        <w:rPr>
          <w:rFonts w:ascii="宋体" w:hAnsi="宋体" w:cs="宋体"/>
          <w:color w:val="auto"/>
          <w:szCs w:val="21"/>
        </w:rPr>
        <w:tab/>
      </w:r>
      <w:r>
        <w:rPr>
          <w:rFonts w:ascii="宋体" w:hAnsi="宋体" w:cs="宋体"/>
          <w:color w:val="auto"/>
          <w:szCs w:val="21"/>
        </w:rPr>
        <w:tab/>
      </w:r>
      <w:r>
        <w:rPr>
          <w:rFonts w:ascii="宋体" w:hAnsi="宋体" w:cs="宋体"/>
          <w:color w:val="auto"/>
          <w:szCs w:val="21"/>
        </w:rPr>
        <w:tab/>
      </w:r>
      <w:r>
        <w:rPr>
          <w:rFonts w:ascii="宋体" w:hAnsi="宋体" w:cs="宋体"/>
          <w:color w:val="auto"/>
          <w:szCs w:val="21"/>
        </w:rPr>
        <w:tab/>
      </w:r>
      <w:r>
        <w:rPr>
          <w:rFonts w:ascii="宋体" w:hAnsi="宋体" w:cs="宋体"/>
          <w:color w:val="auto"/>
          <w:szCs w:val="21"/>
        </w:rPr>
        <w:tab/>
      </w:r>
      <w:r>
        <w:rPr>
          <w:rFonts w:ascii="宋体" w:hAnsi="宋体" w:cs="宋体"/>
          <w:color w:val="auto"/>
          <w:szCs w:val="21"/>
        </w:rPr>
        <w:tab/>
      </w:r>
      <w:r>
        <w:rPr>
          <w:rFonts w:hint="eastAsia" w:ascii="宋体" w:hAnsi="宋体" w:cs="宋体"/>
          <w:color w:val="auto"/>
          <w:szCs w:val="21"/>
        </w:rPr>
        <w:t xml:space="preserve">     12个</w:t>
      </w:r>
    </w:p>
    <w:p w14:paraId="3B1BE6DC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16A国标电源插座                              2个</w:t>
      </w:r>
    </w:p>
    <w:p w14:paraId="38746BAD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六类非屏蔽模块网络接口                      </w:t>
      </w:r>
      <w:r>
        <w:rPr>
          <w:rFonts w:ascii="宋体" w:hAnsi="宋体" w:cs="宋体"/>
          <w:color w:val="auto"/>
          <w:szCs w:val="21"/>
        </w:rPr>
        <w:t xml:space="preserve"> 2</w:t>
      </w:r>
      <w:r>
        <w:rPr>
          <w:rFonts w:hint="eastAsia" w:ascii="宋体" w:hAnsi="宋体" w:cs="宋体"/>
          <w:color w:val="auto"/>
          <w:szCs w:val="21"/>
        </w:rPr>
        <w:t xml:space="preserve">个 </w:t>
      </w:r>
    </w:p>
    <w:p w14:paraId="655398F2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等电位端子                                 </w:t>
      </w:r>
      <w:r>
        <w:rPr>
          <w:rFonts w:ascii="宋体" w:hAnsi="宋体" w:cs="宋体"/>
          <w:color w:val="auto"/>
          <w:szCs w:val="21"/>
        </w:rPr>
        <w:t xml:space="preserve">  </w:t>
      </w:r>
      <w:r>
        <w:rPr>
          <w:rFonts w:hint="eastAsia" w:ascii="宋体" w:hAnsi="宋体" w:cs="宋体"/>
          <w:color w:val="auto"/>
          <w:szCs w:val="21"/>
        </w:rPr>
        <w:t>2个</w:t>
      </w:r>
    </w:p>
    <w:p w14:paraId="531F7898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视频接口                                     2个</w:t>
      </w:r>
    </w:p>
    <w:p w14:paraId="796242A5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端口预留                                     2个</w:t>
      </w:r>
    </w:p>
    <w:p w14:paraId="49A3B591">
      <w:pPr>
        <w:numPr>
          <w:ilvl w:val="0"/>
          <w:numId w:val="2"/>
        </w:numPr>
        <w:spacing w:line="360" w:lineRule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网篮                                         1个</w:t>
      </w:r>
    </w:p>
    <w:p w14:paraId="28795EA8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双显示器弹簧吊臂参数配置要求</w:t>
      </w:r>
    </w:p>
    <w:p w14:paraId="53312AD9"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弹簧吊臂主体材料为铝镁合金，一体成型，全封闭式设计。</w:t>
      </w:r>
    </w:p>
    <w:p w14:paraId="20459C2D"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弹簧吊臂总长度≥1600mm。</w:t>
      </w:r>
    </w:p>
    <w:p w14:paraId="29853FEB"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弹簧吊臂可旋转角度≥330°。</w:t>
      </w:r>
    </w:p>
    <w:p w14:paraId="77F1DE7A"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▲弹簧吊臂承重范围至少满足20kg，弹簧吊臂与吊塔同基座安装或者独立安装，可同时悬吊两块≥27英寸医用显示器。（提供相关资料佐证）</w:t>
      </w:r>
    </w:p>
    <w:p w14:paraId="14F0F2CC">
      <w:pPr>
        <w:pStyle w:val="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双显示器弹簧吊臂配置要求/套：</w:t>
      </w:r>
    </w:p>
    <w:p w14:paraId="7A9F34FA">
      <w:pPr>
        <w:pStyle w:val="9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装饰罩                                     1套</w:t>
      </w:r>
    </w:p>
    <w:p w14:paraId="48C055DA">
      <w:pPr>
        <w:pStyle w:val="9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中心轴                                     1套</w:t>
      </w:r>
    </w:p>
    <w:p w14:paraId="15AA6FC7">
      <w:pPr>
        <w:pStyle w:val="9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弹簧臂                                     1套</w:t>
      </w:r>
    </w:p>
    <w:p w14:paraId="468EE821">
      <w:pPr>
        <w:pStyle w:val="9"/>
        <w:numPr>
          <w:ilvl w:val="0"/>
          <w:numId w:val="5"/>
        </w:numPr>
        <w:spacing w:line="360" w:lineRule="auto"/>
        <w:ind w:firstLineChars="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双显示器适配挂架                           1套</w:t>
      </w:r>
    </w:p>
    <w:p w14:paraId="736C14B9">
      <w:pPr>
        <w:rPr>
          <w:color w:val="auto"/>
        </w:rPr>
      </w:pPr>
    </w:p>
    <w:p w14:paraId="1463FC23">
      <w:pPr>
        <w:rPr>
          <w:color w:val="auto"/>
        </w:rPr>
      </w:pPr>
    </w:p>
    <w:p w14:paraId="5ACC9903">
      <w:pPr>
        <w:rPr>
          <w:color w:val="auto"/>
        </w:rPr>
      </w:pPr>
    </w:p>
    <w:p w14:paraId="7617012C">
      <w:pPr>
        <w:rPr>
          <w:color w:val="auto"/>
        </w:rPr>
      </w:pPr>
    </w:p>
    <w:sectPr>
      <w:headerReference r:id="rId4" w:type="firs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F1F713-1293-4C70-857E-02F969C540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A002C1-CDFD-4609-8695-19CA5CF462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ADC7E2D-7B38-4F68-A9C0-3AC1D58BC2F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451C">
    <w:pPr>
      <w:pStyle w:val="4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36550"/>
              <wp:effectExtent l="0" t="0" r="7620" b="6350"/>
              <wp:wrapNone/>
              <wp:docPr id="521004363" name="文本框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4C2E3">
                          <w:pPr>
                            <w:rPr>
                              <w:rFonts w:ascii="Arial" w:hAnsi="Arial" w:eastAsia="Arial" w:cs="Arial"/>
                              <w:color w:val="FF8F1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alt="Internal" type="#_x0000_t202" style="position:absolute;left:0pt;height:26.5pt;width:53.4pt;mso-position-horizontal:left;mso-position-horizontal-relative:page;mso-position-vertical:top;mso-position-vertical-relative:page;mso-wrap-style:none;z-index:251660288;mso-width-relative:page;mso-height-relative:page;" filled="f" stroked="f" coordsize="21600,21600" o:gfxdata="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8eQWbUAAAABAEAAA8AAAAAAAAAAQAgAAAAIgAA&#10;AGRycy9kb3ducmV2LnhtbFBLAQIUABQAAAAIAIdO4kBIC2WXRQIAAG0EAAAOAAAAAAAAAAEAIAAA&#10;ACMBAABkcnMvZTJvRG9jLnhtbFBLBQYAAAAABgAGAFkBAADaBQAAAAA=&#10;">
              <v:fill on="f" focussize="0,0"/>
              <v:stroke on="f"/>
              <v:imagedata o:title=""/>
              <o:lock v:ext="edit" aspectratio="f"/>
              <v:textbox inset="20pt,15pt,0mm,0mm" style="mso-fit-shape-to-text:t;">
                <w:txbxContent>
                  <w:p w14:paraId="36F4C2E3">
                    <w:pPr>
                      <w:rPr>
                        <w:rFonts w:ascii="Arial" w:hAnsi="Arial" w:eastAsia="Arial" w:cs="Arial"/>
                        <w:color w:val="FF8F1F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D7CC8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36550"/>
              <wp:effectExtent l="0" t="0" r="7620" b="6350"/>
              <wp:wrapNone/>
              <wp:docPr id="1838620951" name="文本框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75E9A">
                          <w:pPr>
                            <w:rPr>
                              <w:rFonts w:ascii="Arial" w:hAnsi="Arial" w:eastAsia="Arial" w:cs="Arial"/>
                              <w:color w:val="FF8F1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FF8F1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alt="Internal" type="#_x0000_t202" style="position:absolute;left:0pt;height:26.5pt;width:53.4pt;mso-position-horizontal:left;mso-position-horizontal-relative:page;mso-position-vertical:top;mso-position-vertical-relative:page;mso-wrap-style:none;z-index:251659264;mso-width-relative:page;mso-height-relative:page;" filled="f" stroked="f" coordsize="21600,21600" o:gfxdata="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x5BZtQAAAAEAQAADwAAAAAAAAABACAAAAAiAAAA&#10;ZHJzL2Rvd25yZXYueG1sUEsBAhQAFAAAAAgAh07iQMDwlfVEAgAAbgQAAA4AAAAAAAAAAQAgAAAA&#10;IwEAAGRycy9lMm9Eb2MueG1sUEsFBgAAAAAGAAYAWQEAANkFAAAAAA==&#10;">
              <v:fill on="f" focussize="0,0"/>
              <v:stroke on="f"/>
              <v:imagedata o:title=""/>
              <o:lock v:ext="edit" aspectratio="f"/>
              <v:textbox inset="20pt,15pt,0mm,0mm" style="mso-fit-shape-to-text:t;">
                <w:txbxContent>
                  <w:p w14:paraId="35275E9A">
                    <w:pPr>
                      <w:rPr>
                        <w:rFonts w:ascii="Arial" w:hAnsi="Arial" w:eastAsia="Arial" w:cs="Arial"/>
                        <w:color w:val="FF8F1F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color w:val="FF8F1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A978F"/>
    <w:multiLevelType w:val="singleLevel"/>
    <w:tmpl w:val="FE5A97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>
    <w:nsid w:val="12E350EF"/>
    <w:multiLevelType w:val="multilevel"/>
    <w:tmpl w:val="12E350EF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EF0763F"/>
    <w:multiLevelType w:val="singleLevel"/>
    <w:tmpl w:val="1EF076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D4F6A93"/>
    <w:multiLevelType w:val="multilevel"/>
    <w:tmpl w:val="2D4F6A9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C7D0DC"/>
    <w:multiLevelType w:val="singleLevel"/>
    <w:tmpl w:val="62C7D0D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A4"/>
    <w:rsid w:val="00016295"/>
    <w:rsid w:val="00042468"/>
    <w:rsid w:val="000A2347"/>
    <w:rsid w:val="000A297F"/>
    <w:rsid w:val="001100DB"/>
    <w:rsid w:val="00115869"/>
    <w:rsid w:val="001C397F"/>
    <w:rsid w:val="00242903"/>
    <w:rsid w:val="00274A1A"/>
    <w:rsid w:val="002E7942"/>
    <w:rsid w:val="0040021D"/>
    <w:rsid w:val="005B411E"/>
    <w:rsid w:val="006B7644"/>
    <w:rsid w:val="006E53CE"/>
    <w:rsid w:val="00704EC0"/>
    <w:rsid w:val="00715CBA"/>
    <w:rsid w:val="00720C0E"/>
    <w:rsid w:val="00725F60"/>
    <w:rsid w:val="00822158"/>
    <w:rsid w:val="008A4D31"/>
    <w:rsid w:val="00901301"/>
    <w:rsid w:val="00A15418"/>
    <w:rsid w:val="00A62001"/>
    <w:rsid w:val="00A83AD0"/>
    <w:rsid w:val="00AA29F6"/>
    <w:rsid w:val="00B13BEF"/>
    <w:rsid w:val="00BE164A"/>
    <w:rsid w:val="00BE55D9"/>
    <w:rsid w:val="00C12160"/>
    <w:rsid w:val="00C607B0"/>
    <w:rsid w:val="00C767E9"/>
    <w:rsid w:val="00CD3A73"/>
    <w:rsid w:val="00D132B5"/>
    <w:rsid w:val="00D67D3A"/>
    <w:rsid w:val="00E7018D"/>
    <w:rsid w:val="00E8462D"/>
    <w:rsid w:val="00EF4AA4"/>
    <w:rsid w:val="00F04381"/>
    <w:rsid w:val="00FA2D23"/>
    <w:rsid w:val="038B3DDC"/>
    <w:rsid w:val="03FD3051"/>
    <w:rsid w:val="044C50BA"/>
    <w:rsid w:val="04E927E6"/>
    <w:rsid w:val="0540510F"/>
    <w:rsid w:val="0554685E"/>
    <w:rsid w:val="070C28DE"/>
    <w:rsid w:val="087163F4"/>
    <w:rsid w:val="0A303648"/>
    <w:rsid w:val="0AD83265"/>
    <w:rsid w:val="0EA53D44"/>
    <w:rsid w:val="0ED10695"/>
    <w:rsid w:val="0F7A2ADB"/>
    <w:rsid w:val="106144F3"/>
    <w:rsid w:val="13B62550"/>
    <w:rsid w:val="162174C4"/>
    <w:rsid w:val="191C3027"/>
    <w:rsid w:val="1AB86BAD"/>
    <w:rsid w:val="1C0C1E24"/>
    <w:rsid w:val="1F134DAA"/>
    <w:rsid w:val="1FAC1F03"/>
    <w:rsid w:val="227D5433"/>
    <w:rsid w:val="236B0C61"/>
    <w:rsid w:val="23B53344"/>
    <w:rsid w:val="248971F3"/>
    <w:rsid w:val="25407ECB"/>
    <w:rsid w:val="25CC03B4"/>
    <w:rsid w:val="260750B7"/>
    <w:rsid w:val="2629095F"/>
    <w:rsid w:val="263537A8"/>
    <w:rsid w:val="26804A23"/>
    <w:rsid w:val="270553FC"/>
    <w:rsid w:val="298E5083"/>
    <w:rsid w:val="2A3F4E5B"/>
    <w:rsid w:val="2B3B360F"/>
    <w:rsid w:val="2B400C25"/>
    <w:rsid w:val="2C711DF0"/>
    <w:rsid w:val="2DA44549"/>
    <w:rsid w:val="2F340448"/>
    <w:rsid w:val="2FB0545C"/>
    <w:rsid w:val="2FB15C4D"/>
    <w:rsid w:val="31A2695B"/>
    <w:rsid w:val="31B9703B"/>
    <w:rsid w:val="31E3748D"/>
    <w:rsid w:val="32210B93"/>
    <w:rsid w:val="324D7EFE"/>
    <w:rsid w:val="32EC51EE"/>
    <w:rsid w:val="33097BA8"/>
    <w:rsid w:val="335B7731"/>
    <w:rsid w:val="33A6194A"/>
    <w:rsid w:val="33AE44E2"/>
    <w:rsid w:val="33D769DD"/>
    <w:rsid w:val="35AB4B80"/>
    <w:rsid w:val="35D22DC1"/>
    <w:rsid w:val="36463673"/>
    <w:rsid w:val="36690728"/>
    <w:rsid w:val="36BF3346"/>
    <w:rsid w:val="379A790F"/>
    <w:rsid w:val="39827ED1"/>
    <w:rsid w:val="3A157721"/>
    <w:rsid w:val="3A571AE7"/>
    <w:rsid w:val="3A6B7341"/>
    <w:rsid w:val="3E104487"/>
    <w:rsid w:val="40563519"/>
    <w:rsid w:val="40A435AC"/>
    <w:rsid w:val="40CA3AB9"/>
    <w:rsid w:val="41DF3DE9"/>
    <w:rsid w:val="42BF46CD"/>
    <w:rsid w:val="44875349"/>
    <w:rsid w:val="46056014"/>
    <w:rsid w:val="461B1C1B"/>
    <w:rsid w:val="471E5E67"/>
    <w:rsid w:val="47941C85"/>
    <w:rsid w:val="48097742"/>
    <w:rsid w:val="484F3DFE"/>
    <w:rsid w:val="49B17E7B"/>
    <w:rsid w:val="4CBD1C7E"/>
    <w:rsid w:val="4DD616D9"/>
    <w:rsid w:val="4FC04886"/>
    <w:rsid w:val="50C11611"/>
    <w:rsid w:val="58B2640F"/>
    <w:rsid w:val="5B57329D"/>
    <w:rsid w:val="5B81656C"/>
    <w:rsid w:val="5D8E1CF4"/>
    <w:rsid w:val="5F9C406D"/>
    <w:rsid w:val="600324A1"/>
    <w:rsid w:val="60830691"/>
    <w:rsid w:val="613D263E"/>
    <w:rsid w:val="62A04CCC"/>
    <w:rsid w:val="64A123A9"/>
    <w:rsid w:val="64D121F6"/>
    <w:rsid w:val="64FE29DC"/>
    <w:rsid w:val="66495ED8"/>
    <w:rsid w:val="6AA9740B"/>
    <w:rsid w:val="6BF32B6E"/>
    <w:rsid w:val="6E0D1F8D"/>
    <w:rsid w:val="708041BC"/>
    <w:rsid w:val="70C1323B"/>
    <w:rsid w:val="719E6F42"/>
    <w:rsid w:val="71D64AC4"/>
    <w:rsid w:val="726A28C4"/>
    <w:rsid w:val="78E35D19"/>
    <w:rsid w:val="7BCA3437"/>
    <w:rsid w:val="7D9629EB"/>
    <w:rsid w:val="7F0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link w:val="8"/>
    <w:qFormat/>
    <w:uiPriority w:val="34"/>
    <w:pPr>
      <w:ind w:firstLine="420" w:firstLineChars="200"/>
    </w:pPr>
  </w:style>
  <w:style w:type="character" w:customStyle="1" w:styleId="8">
    <w:name w:val="列表段落 字符"/>
    <w:link w:val="7"/>
    <w:qFormat/>
    <w:uiPriority w:val="34"/>
    <w:rPr>
      <w:rFonts w:ascii="Times New Roman" w:hAnsi="Times New Roman" w:eastAsia="宋体" w:cs="Times New Roman"/>
      <w:szCs w:val="24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0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Draeger</Company>
  <Pages>3</Pages>
  <Words>1511</Words>
  <Characters>1665</Characters>
  <Lines>16</Lines>
  <Paragraphs>4</Paragraphs>
  <TotalTime>0</TotalTime>
  <ScaleCrop>false</ScaleCrop>
  <LinksUpToDate>false</LinksUpToDate>
  <CharactersWithSpaces>2216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2026-04-18T01:52:00Z</dcterms:created>
  <dc:creator>卢奕宏 Lu Yihong</dc:creator>
  <cp:lastModifiedBy>全穗海</cp:lastModifiedBy>
  <dcterms:modified xsi:type="dcterms:W3CDTF">2026-05-08T08:26:03Z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eyJoZGlkIjoiODM2OGZkMGY4YjBmZWZiMDU2YjI4YmE3M2E3MDc1NjAiLCJ1c2VySWQiOiIxNjU3NTM5NjY4In0=</vt:lpwstr>
  </property>
  <property fmtid="{D5CDD505-2E9C-101B-9397-08002B2CF9AE}" pid="3" name="KSOProductBuildVer">
    <vt:lpwstr>2052-12.1.0.25865</vt:lpwstr>
  </property>
  <property fmtid="{D5CDD505-2E9C-101B-9397-08002B2CF9AE}" pid="4" name="ICV">
    <vt:lpwstr>83FF0D7E7A884A5F80CA39DA5072F771_13</vt:lpwstr>
  </property>
  <property fmtid="{D5CDD505-2E9C-101B-9397-08002B2CF9AE}" pid="5" name="ClassificationContentMarkingHeaderShapeIds">
    <vt:lpwstr>6d972117,1f0de54b,405eff6e</vt:lpwstr>
  </property>
  <property fmtid="{D5CDD505-2E9C-101B-9397-08002B2CF9AE}" pid="6" name="ClassificationContentMarkingHeaderFontProps">
    <vt:lpwstr>#ff8f1f,10,Arial</vt:lpwstr>
  </property>
  <property fmtid="{D5CDD505-2E9C-101B-9397-08002B2CF9AE}" pid="7" name="ClassificationContentMarkingHeaderText">
    <vt:lpwstr>Internal</vt:lpwstr>
  </property>
</Properties>
</file>