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DD4F6">
      <w:pPr>
        <w:spacing w:line="360" w:lineRule="auto"/>
        <w:jc w:val="center"/>
        <w:rPr>
          <w:rFonts w:hint="eastAsia" w:ascii="方正小标宋简体" w:hAnsi="方正公文小标宋" w:eastAsia="方正小标宋简体" w:cs="方正公文小标宋"/>
          <w:b/>
          <w:sz w:val="36"/>
          <w:lang w:val="en-US" w:eastAsia="zh-CN"/>
        </w:rPr>
      </w:pPr>
      <w:r>
        <w:rPr>
          <w:rFonts w:hint="eastAsia" w:ascii="方正小标宋简体" w:hAnsi="方正公文小标宋" w:eastAsia="方正小标宋简体" w:cs="方正公文小标宋"/>
          <w:b/>
          <w:sz w:val="36"/>
          <w:lang w:val="en-US" w:eastAsia="zh-CN"/>
        </w:rPr>
        <w:t>何善衡楼4楼</w:t>
      </w:r>
      <w:r>
        <w:rPr>
          <w:rFonts w:hint="eastAsia" w:ascii="方正小标宋简体" w:hAnsi="方正公文小标宋" w:eastAsia="方正小标宋简体" w:cs="方正公文小标宋"/>
          <w:b/>
          <w:sz w:val="36"/>
          <w:lang w:val="en-US" w:eastAsia="zh-CN"/>
        </w:rPr>
        <w:t>呼吸诊断介入中心医用吊塔采购与安装项目</w:t>
      </w:r>
      <w:r>
        <w:rPr>
          <w:rFonts w:hint="eastAsia" w:ascii="方正小标宋简体" w:hAnsi="方正公文小标宋" w:eastAsia="方正小标宋简体" w:cs="方正公文小标宋"/>
          <w:b/>
          <w:sz w:val="36"/>
          <w:lang w:val="en-US" w:eastAsia="zh-CN"/>
        </w:rPr>
        <w:t>参数配置要求</w:t>
      </w:r>
    </w:p>
    <w:p w14:paraId="49BDD4F7">
      <w:pPr>
        <w:spacing w:line="360" w:lineRule="auto"/>
        <w:jc w:val="center"/>
        <w:rPr>
          <w:rFonts w:hint="eastAsia" w:ascii="宋体" w:hAnsi="宋体" w:cs="宋体"/>
          <w:b/>
          <w:sz w:val="44"/>
          <w:szCs w:val="44"/>
        </w:rPr>
      </w:pPr>
    </w:p>
    <w:p w14:paraId="49BDD4F8">
      <w:pPr>
        <w:spacing w:line="360" w:lineRule="auto"/>
        <w:rPr>
          <w:rFonts w:hint="eastAsia" w:ascii="宋体" w:hAnsi="宋体" w:cs="宋体"/>
          <w:b/>
          <w:sz w:val="28"/>
          <w:szCs w:val="28"/>
        </w:rPr>
      </w:pPr>
      <w:r>
        <w:rPr>
          <w:rFonts w:hint="eastAsia" w:ascii="宋体" w:hAnsi="宋体" w:cs="宋体"/>
          <w:b/>
          <w:sz w:val="28"/>
          <w:szCs w:val="28"/>
        </w:rPr>
        <w:t>一、双臂吊塔参数配置要求</w:t>
      </w:r>
    </w:p>
    <w:p w14:paraId="1E95F350">
      <w:pPr>
        <w:pStyle w:val="8"/>
        <w:numPr>
          <w:ilvl w:val="0"/>
          <w:numId w:val="1"/>
        </w:numPr>
        <w:spacing w:line="360" w:lineRule="auto"/>
        <w:ind w:firstLineChars="0"/>
        <w:rPr>
          <w:rFonts w:hint="eastAsia" w:ascii="宋体" w:hAnsi="宋体" w:cs="宋体"/>
          <w:szCs w:val="21"/>
        </w:rPr>
      </w:pPr>
      <w:r>
        <w:rPr>
          <w:rFonts w:hint="eastAsia" w:ascii="宋体" w:hAnsi="宋体" w:cs="宋体"/>
          <w:szCs w:val="21"/>
        </w:rPr>
        <w:t>吊塔主体材料为≥6</w:t>
      </w:r>
      <w:r>
        <w:rPr>
          <w:rFonts w:hint="eastAsia" w:ascii="宋体" w:hAnsi="宋体" w:cs="宋体"/>
          <w:szCs w:val="21"/>
          <w:lang w:val="en-US" w:eastAsia="zh-CN"/>
        </w:rPr>
        <w:t>系</w:t>
      </w:r>
      <w:r>
        <w:rPr>
          <w:rFonts w:hint="eastAsia" w:ascii="宋体" w:hAnsi="宋体" w:cs="宋体"/>
          <w:szCs w:val="21"/>
        </w:rPr>
        <w:t>高强度铝合金，抗金属疲劳强度高，一体成型，全封闭式设计，表面无锐角，无外露螺钉。</w:t>
      </w:r>
    </w:p>
    <w:p w14:paraId="49BDD4FA">
      <w:pPr>
        <w:pStyle w:val="8"/>
        <w:numPr>
          <w:ilvl w:val="0"/>
          <w:numId w:val="1"/>
        </w:numPr>
        <w:spacing w:line="360" w:lineRule="auto"/>
        <w:ind w:firstLineChars="0"/>
        <w:rPr>
          <w:rFonts w:hint="eastAsia" w:ascii="宋体" w:hAnsi="宋体" w:cs="宋体"/>
          <w:szCs w:val="21"/>
        </w:rPr>
      </w:pPr>
      <w:r>
        <w:rPr>
          <w:rFonts w:hint="eastAsia" w:ascii="宋体" w:hAnsi="宋体" w:cs="宋体"/>
          <w:szCs w:val="21"/>
        </w:rPr>
        <w:t>吊塔表面喷塑采用环保抗菌粉末，具有表面抑制细菌再生作用，大肠杆菌及金黄色葡萄球菌抗菌率≥99.9%。（提供第三方抗菌检测报告）</w:t>
      </w:r>
    </w:p>
    <w:p w14:paraId="5469F1EE">
      <w:pPr>
        <w:pStyle w:val="8"/>
        <w:numPr>
          <w:ilvl w:val="0"/>
          <w:numId w:val="1"/>
        </w:numPr>
        <w:spacing w:line="360" w:lineRule="auto"/>
        <w:ind w:firstLineChars="0"/>
        <w:rPr>
          <w:rFonts w:hint="eastAsia" w:ascii="宋体" w:hAnsi="宋体" w:cs="宋体"/>
          <w:szCs w:val="21"/>
        </w:rPr>
      </w:pPr>
      <w:r>
        <w:rPr>
          <w:rFonts w:hint="eastAsia" w:ascii="宋体" w:hAnsi="宋体" w:cs="宋体"/>
          <w:szCs w:val="21"/>
        </w:rPr>
        <w:t>吊塔外壳涂膜通过附着力测试，附着力等级数值≤0。</w:t>
      </w:r>
    </w:p>
    <w:p w14:paraId="210F7C88">
      <w:pPr>
        <w:pStyle w:val="8"/>
        <w:numPr>
          <w:ilvl w:val="0"/>
          <w:numId w:val="1"/>
        </w:numPr>
        <w:spacing w:line="360" w:lineRule="auto"/>
        <w:ind w:firstLineChars="0"/>
        <w:rPr>
          <w:rFonts w:hint="eastAsia" w:ascii="宋体" w:hAnsi="宋体" w:cs="宋体"/>
          <w:szCs w:val="21"/>
        </w:rPr>
      </w:pPr>
      <w:r>
        <w:rPr>
          <w:rFonts w:hint="eastAsia" w:ascii="宋体" w:hAnsi="宋体" w:cs="宋体"/>
          <w:szCs w:val="21"/>
        </w:rPr>
        <w:t>吊塔外壳通过中性盐雾试验，外观评价等级数值≥10。</w:t>
      </w:r>
    </w:p>
    <w:p w14:paraId="33B2A83E">
      <w:pPr>
        <w:pStyle w:val="8"/>
        <w:numPr>
          <w:ilvl w:val="0"/>
          <w:numId w:val="1"/>
        </w:numPr>
        <w:spacing w:line="360" w:lineRule="auto"/>
        <w:ind w:firstLineChars="0"/>
        <w:rPr>
          <w:rFonts w:hint="eastAsia" w:ascii="宋体" w:hAnsi="宋体" w:cs="宋体"/>
          <w:szCs w:val="21"/>
        </w:rPr>
      </w:pPr>
      <w:r>
        <w:rPr>
          <w:rFonts w:hint="eastAsia" w:ascii="宋体" w:hAnsi="宋体" w:cs="宋体"/>
          <w:szCs w:val="21"/>
        </w:rPr>
        <w:t>▲吊塔基础架平缓施加荷载至≥10000N.m扭矩，持续≥10min，法兰盘水平偏角≤0.</w:t>
      </w:r>
      <w:r>
        <w:rPr>
          <w:rFonts w:hint="eastAsia" w:ascii="宋体" w:hAnsi="宋体" w:cs="宋体"/>
          <w:szCs w:val="21"/>
          <w:lang w:val="en-US" w:eastAsia="zh-CN"/>
        </w:rPr>
        <w:t>6</w:t>
      </w:r>
      <w:r>
        <w:rPr>
          <w:rFonts w:hint="eastAsia" w:ascii="宋体" w:hAnsi="宋体" w:cs="宋体"/>
          <w:szCs w:val="21"/>
        </w:rPr>
        <w:t>°。（提供第三方具有CMA或CNAS</w:t>
      </w:r>
      <w:r>
        <w:rPr>
          <w:rFonts w:hint="eastAsia" w:ascii="宋体" w:hAnsi="宋体" w:cs="宋体"/>
          <w:szCs w:val="21"/>
          <w:lang w:eastAsia="zh-CN"/>
        </w:rPr>
        <w:t>资质的机构出具的第三方检测报告</w:t>
      </w:r>
      <w:r>
        <w:rPr>
          <w:rFonts w:hint="eastAsia" w:ascii="宋体" w:hAnsi="宋体" w:cs="宋体"/>
          <w:szCs w:val="21"/>
        </w:rPr>
        <w:t>检测报告）</w:t>
      </w:r>
    </w:p>
    <w:p w14:paraId="4099193A">
      <w:pPr>
        <w:pStyle w:val="8"/>
        <w:numPr>
          <w:ilvl w:val="0"/>
          <w:numId w:val="1"/>
        </w:numPr>
        <w:spacing w:line="360" w:lineRule="auto"/>
        <w:ind w:firstLineChars="0"/>
        <w:rPr>
          <w:rFonts w:hint="eastAsia" w:ascii="宋体" w:hAnsi="宋体" w:cs="宋体"/>
          <w:szCs w:val="21"/>
        </w:rPr>
      </w:pPr>
      <w:r>
        <w:rPr>
          <w:rFonts w:hint="eastAsia" w:ascii="宋体" w:hAnsi="宋体" w:cs="宋体"/>
          <w:szCs w:val="21"/>
        </w:rPr>
        <w:t>▲吊塔关节轴承在≥300kg动载荷下，运行次数≥11万次</w:t>
      </w:r>
      <w:r>
        <w:rPr>
          <w:rFonts w:hint="eastAsia" w:ascii="宋体" w:hAnsi="宋体" w:cs="宋体"/>
          <w:szCs w:val="21"/>
          <w:lang w:eastAsia="zh-CN"/>
        </w:rPr>
        <w:t>。</w:t>
      </w:r>
      <w:r>
        <w:rPr>
          <w:rFonts w:hint="eastAsia" w:ascii="宋体" w:hAnsi="宋体" w:cs="宋体"/>
          <w:szCs w:val="21"/>
        </w:rPr>
        <w:t>（提供第三方具有CMA或</w:t>
      </w:r>
      <w:bookmarkStart w:id="0" w:name="_GoBack"/>
      <w:bookmarkEnd w:id="0"/>
      <w:r>
        <w:rPr>
          <w:rFonts w:hint="eastAsia" w:ascii="宋体" w:hAnsi="宋体" w:cs="宋体"/>
          <w:szCs w:val="21"/>
        </w:rPr>
        <w:t>CNAS</w:t>
      </w:r>
      <w:r>
        <w:rPr>
          <w:rFonts w:hint="eastAsia" w:ascii="宋体" w:hAnsi="宋体" w:cs="宋体"/>
          <w:szCs w:val="21"/>
          <w:lang w:eastAsia="zh-CN"/>
        </w:rPr>
        <w:t>资质的机构出具的第三方检测报告</w:t>
      </w:r>
      <w:r>
        <w:rPr>
          <w:rFonts w:hint="eastAsia" w:ascii="宋体" w:hAnsi="宋体" w:cs="宋体"/>
          <w:szCs w:val="21"/>
        </w:rPr>
        <w:t>检测报告）</w:t>
      </w:r>
    </w:p>
    <w:p w14:paraId="4B152648">
      <w:pPr>
        <w:pStyle w:val="8"/>
        <w:numPr>
          <w:ilvl w:val="0"/>
          <w:numId w:val="1"/>
        </w:numPr>
        <w:spacing w:line="360" w:lineRule="auto"/>
        <w:ind w:firstLineChars="0"/>
        <w:rPr>
          <w:rFonts w:hint="eastAsia" w:ascii="宋体" w:hAnsi="宋体" w:cs="宋体"/>
          <w:szCs w:val="21"/>
        </w:rPr>
      </w:pPr>
      <w:r>
        <w:rPr>
          <w:rFonts w:hint="eastAsia" w:ascii="宋体" w:hAnsi="宋体" w:cs="宋体"/>
          <w:szCs w:val="21"/>
        </w:rPr>
        <w:t>▲吊塔最大承重≥</w:t>
      </w:r>
      <w:r>
        <w:rPr>
          <w:rFonts w:hint="eastAsia" w:ascii="宋体" w:hAnsi="宋体" w:cs="宋体"/>
          <w:szCs w:val="21"/>
          <w:lang w:val="en-US" w:eastAsia="zh-CN"/>
        </w:rPr>
        <w:t>120</w:t>
      </w:r>
      <w:r>
        <w:rPr>
          <w:rFonts w:hint="eastAsia" w:ascii="宋体" w:hAnsi="宋体" w:cs="宋体"/>
          <w:szCs w:val="21"/>
        </w:rPr>
        <w:t>kg，同时满足四倍承重负载要求。（提供第三方具有CMA或CNAS</w:t>
      </w:r>
      <w:r>
        <w:rPr>
          <w:rFonts w:hint="eastAsia" w:ascii="宋体" w:hAnsi="宋体" w:cs="宋体"/>
          <w:szCs w:val="21"/>
          <w:lang w:eastAsia="zh-CN"/>
        </w:rPr>
        <w:t>资质的机构出具的第三方检测报告</w:t>
      </w:r>
      <w:r>
        <w:rPr>
          <w:rFonts w:hint="eastAsia" w:ascii="宋体" w:hAnsi="宋体" w:cs="宋体"/>
          <w:szCs w:val="21"/>
        </w:rPr>
        <w:t>检测报告）</w:t>
      </w:r>
    </w:p>
    <w:p w14:paraId="49BDD500">
      <w:pPr>
        <w:pStyle w:val="8"/>
        <w:numPr>
          <w:ilvl w:val="0"/>
          <w:numId w:val="1"/>
        </w:numPr>
        <w:spacing w:line="360" w:lineRule="auto"/>
        <w:ind w:firstLineChars="0"/>
        <w:rPr>
          <w:rFonts w:hint="eastAsia" w:ascii="宋体" w:hAnsi="宋体" w:cs="宋体"/>
          <w:szCs w:val="21"/>
        </w:rPr>
      </w:pPr>
      <w:r>
        <w:rPr>
          <w:rFonts w:hint="eastAsia" w:ascii="宋体" w:hAnsi="宋体" w:cs="宋体"/>
          <w:szCs w:val="21"/>
        </w:rPr>
        <w:t>▲吊塔气电终端箱在承重≥120kg时，终端箱倾斜角度≤0.6°。（提供第三方具有CMA或CNAS</w:t>
      </w:r>
      <w:r>
        <w:rPr>
          <w:rFonts w:hint="eastAsia" w:ascii="宋体" w:hAnsi="宋体" w:cs="宋体"/>
          <w:szCs w:val="21"/>
          <w:lang w:eastAsia="zh-CN"/>
        </w:rPr>
        <w:t>资质的机构出具的第三方检测报告</w:t>
      </w:r>
      <w:r>
        <w:rPr>
          <w:rFonts w:hint="eastAsia" w:ascii="宋体" w:hAnsi="宋体" w:cs="宋体"/>
          <w:szCs w:val="21"/>
        </w:rPr>
        <w:t>检测报告）</w:t>
      </w:r>
    </w:p>
    <w:p w14:paraId="23A515C0">
      <w:pPr>
        <w:pStyle w:val="8"/>
        <w:numPr>
          <w:ilvl w:val="0"/>
          <w:numId w:val="1"/>
        </w:numPr>
        <w:spacing w:line="360" w:lineRule="auto"/>
        <w:ind w:firstLineChars="0"/>
        <w:rPr>
          <w:rFonts w:hint="eastAsia" w:ascii="宋体" w:hAnsi="宋体" w:cs="宋体"/>
          <w:szCs w:val="21"/>
        </w:rPr>
      </w:pPr>
      <w:r>
        <w:rPr>
          <w:rFonts w:hint="eastAsia" w:ascii="宋体" w:hAnsi="宋体" w:cs="宋体"/>
          <w:szCs w:val="21"/>
        </w:rPr>
        <w:t>吊塔关节旋转角度≥3</w:t>
      </w:r>
      <w:r>
        <w:rPr>
          <w:rFonts w:hint="eastAsia" w:ascii="宋体" w:hAnsi="宋体" w:cs="宋体"/>
          <w:szCs w:val="21"/>
          <w:lang w:val="en-US" w:eastAsia="zh-CN"/>
        </w:rPr>
        <w:t>3</w:t>
      </w:r>
      <w:r>
        <w:rPr>
          <w:rFonts w:hint="eastAsia" w:ascii="宋体" w:hAnsi="宋体" w:cs="宋体"/>
          <w:szCs w:val="21"/>
        </w:rPr>
        <w:t>0度，具有良好的限位系统。</w:t>
      </w:r>
    </w:p>
    <w:p w14:paraId="49BDD502">
      <w:pPr>
        <w:pStyle w:val="8"/>
        <w:numPr>
          <w:ilvl w:val="0"/>
          <w:numId w:val="1"/>
        </w:numPr>
        <w:spacing w:line="360" w:lineRule="auto"/>
        <w:ind w:firstLineChars="0"/>
        <w:rPr>
          <w:rFonts w:hint="eastAsia" w:ascii="宋体" w:hAnsi="宋体" w:cs="宋体"/>
          <w:szCs w:val="21"/>
        </w:rPr>
      </w:pPr>
      <w:r>
        <w:rPr>
          <w:rFonts w:hint="eastAsia" w:ascii="宋体" w:hAnsi="宋体" w:cs="宋体"/>
          <w:szCs w:val="21"/>
        </w:rPr>
        <w:t>吊塔上承载的设备的电源线路及气源管路和塔体之间没有相对移动，所有电源线路及气源管路必须在塔体内不能外露，保证吊塔在移动过程中，不会因位置的改变导致线路脱落的意外发生。</w:t>
      </w:r>
    </w:p>
    <w:p w14:paraId="01FDFE6B">
      <w:pPr>
        <w:pStyle w:val="8"/>
        <w:numPr>
          <w:ilvl w:val="0"/>
          <w:numId w:val="1"/>
        </w:numPr>
        <w:spacing w:line="360" w:lineRule="auto"/>
        <w:ind w:firstLineChars="0"/>
        <w:rPr>
          <w:rFonts w:hint="eastAsia" w:ascii="宋体" w:hAnsi="宋体" w:cs="宋体"/>
          <w:szCs w:val="21"/>
        </w:rPr>
      </w:pPr>
      <w:r>
        <w:rPr>
          <w:rFonts w:hint="eastAsia" w:ascii="宋体" w:hAnsi="宋体" w:cs="宋体"/>
          <w:szCs w:val="21"/>
        </w:rPr>
        <w:t>▲吊塔内部采用气电分离式设计，吊塔中的氧化性医用气体终端距离在正常工作状态或单一故障状态下可能产生火花的电器元件应≥0.2m，以保证使用安全。（提供第三方具有CMA或CNAS</w:t>
      </w:r>
      <w:r>
        <w:rPr>
          <w:rFonts w:hint="eastAsia" w:ascii="宋体" w:hAnsi="宋体" w:cs="宋体"/>
          <w:szCs w:val="21"/>
          <w:lang w:eastAsia="zh-CN"/>
        </w:rPr>
        <w:t>资质的机构出具的第三方检测报告</w:t>
      </w:r>
      <w:r>
        <w:rPr>
          <w:rFonts w:hint="eastAsia" w:ascii="宋体" w:hAnsi="宋体" w:cs="宋体"/>
          <w:szCs w:val="21"/>
        </w:rPr>
        <w:t>检测报告）</w:t>
      </w:r>
    </w:p>
    <w:p w14:paraId="488835E8">
      <w:pPr>
        <w:pStyle w:val="8"/>
        <w:numPr>
          <w:ilvl w:val="0"/>
          <w:numId w:val="1"/>
        </w:numPr>
        <w:spacing w:line="360" w:lineRule="auto"/>
        <w:ind w:firstLineChars="0"/>
        <w:rPr>
          <w:rFonts w:hint="eastAsia" w:ascii="宋体" w:hAnsi="宋体" w:cs="宋体"/>
          <w:szCs w:val="21"/>
        </w:rPr>
      </w:pPr>
      <w:r>
        <w:rPr>
          <w:rFonts w:hint="eastAsia" w:ascii="宋体" w:hAnsi="宋体" w:cs="宋体"/>
          <w:szCs w:val="21"/>
        </w:rPr>
        <w:t>吊塔气电箱体底板具有开孔，在模拟氧气泄露流量为≥1L/min时，腔体内部的氧气浓度不超过25%。</w:t>
      </w:r>
    </w:p>
    <w:p w14:paraId="49BDD507">
      <w:pPr>
        <w:pStyle w:val="8"/>
        <w:numPr>
          <w:ilvl w:val="0"/>
          <w:numId w:val="1"/>
        </w:numPr>
        <w:spacing w:line="360" w:lineRule="auto"/>
        <w:ind w:firstLineChars="0"/>
        <w:rPr>
          <w:rFonts w:hint="eastAsia" w:ascii="宋体" w:hAnsi="宋体" w:cs="宋体"/>
          <w:szCs w:val="21"/>
        </w:rPr>
      </w:pPr>
      <w:r>
        <w:rPr>
          <w:rFonts w:hint="eastAsia" w:ascii="宋体" w:hAnsi="宋体" w:cs="宋体"/>
          <w:szCs w:val="21"/>
        </w:rPr>
        <w:t>▲气体终端要求：气体终端为德式，终端上必须印有明显的气体种类标识，具有原位待接通状态功能，可带气维修，气体插座可插拔≥</w:t>
      </w:r>
      <w:r>
        <w:rPr>
          <w:rFonts w:hint="eastAsia" w:ascii="宋体" w:hAnsi="宋体" w:cs="宋体"/>
          <w:szCs w:val="21"/>
          <w:lang w:val="en-US" w:eastAsia="zh-CN"/>
        </w:rPr>
        <w:t>5</w:t>
      </w:r>
      <w:r>
        <w:rPr>
          <w:rFonts w:hint="eastAsia" w:ascii="宋体" w:hAnsi="宋体" w:cs="宋体"/>
          <w:szCs w:val="21"/>
        </w:rPr>
        <w:t>万次，符合YY 0801.1-2010 《医用气体管道系统终端 第 1 部分：用于压缩医用气体和真空的终端》规范要求，气体终端推荐品牌为捷仪、捷工、捷锐</w:t>
      </w:r>
      <w:r>
        <w:rPr>
          <w:rFonts w:hint="eastAsia" w:ascii="宋体" w:hAnsi="宋体" w:cs="宋体"/>
          <w:szCs w:val="21"/>
          <w:lang w:eastAsia="zh-CN"/>
        </w:rPr>
        <w:t>、</w:t>
      </w:r>
      <w:r>
        <w:rPr>
          <w:rFonts w:hint="eastAsia" w:ascii="宋体" w:hAnsi="宋体" w:cs="宋体"/>
          <w:szCs w:val="21"/>
          <w:lang w:val="en-US" w:eastAsia="zh-CN"/>
        </w:rPr>
        <w:t>德尔格</w:t>
      </w:r>
      <w:r>
        <w:rPr>
          <w:rFonts w:hint="eastAsia" w:ascii="宋体" w:hAnsi="宋体" w:cs="宋体"/>
          <w:szCs w:val="21"/>
        </w:rPr>
        <w:t>。（提供第三方具有CMA或CNAS</w:t>
      </w:r>
      <w:r>
        <w:rPr>
          <w:rFonts w:hint="eastAsia" w:ascii="宋体" w:hAnsi="宋体" w:cs="宋体"/>
          <w:szCs w:val="21"/>
          <w:lang w:eastAsia="zh-CN"/>
        </w:rPr>
        <w:t>资质的机构出具的第三方检测报告</w:t>
      </w:r>
      <w:r>
        <w:rPr>
          <w:rFonts w:hint="eastAsia" w:ascii="宋体" w:hAnsi="宋体" w:cs="宋体"/>
          <w:szCs w:val="21"/>
        </w:rPr>
        <w:t>）</w:t>
      </w:r>
    </w:p>
    <w:p w14:paraId="49BDD508">
      <w:pPr>
        <w:pStyle w:val="8"/>
        <w:numPr>
          <w:ilvl w:val="0"/>
          <w:numId w:val="1"/>
        </w:numPr>
        <w:spacing w:line="360" w:lineRule="auto"/>
        <w:ind w:firstLineChars="0"/>
        <w:rPr>
          <w:rFonts w:hint="eastAsia" w:ascii="宋体" w:hAnsi="宋体" w:cs="宋体"/>
          <w:szCs w:val="21"/>
        </w:rPr>
      </w:pPr>
      <w:r>
        <w:rPr>
          <w:rFonts w:hint="eastAsia" w:ascii="宋体" w:hAnsi="宋体" w:cs="宋体"/>
          <w:szCs w:val="21"/>
        </w:rPr>
        <w:t>▲吊塔内部电源模块符合国家电气设备标准，不采用内嵌式的电插座，电源插座推荐品牌为施耐德、西门子、松本</w:t>
      </w:r>
      <w:r>
        <w:rPr>
          <w:rFonts w:hint="eastAsia" w:ascii="宋体" w:hAnsi="宋体" w:cs="宋体"/>
          <w:szCs w:val="21"/>
          <w:lang w:eastAsia="zh-CN"/>
        </w:rPr>
        <w:t>、</w:t>
      </w:r>
      <w:r>
        <w:rPr>
          <w:rFonts w:hint="eastAsia" w:ascii="宋体" w:hAnsi="宋体" w:cs="宋体"/>
          <w:szCs w:val="21"/>
          <w:lang w:val="en-US" w:eastAsia="zh-CN"/>
        </w:rPr>
        <w:t>罗格朗、ABB。</w:t>
      </w:r>
    </w:p>
    <w:p w14:paraId="6B067D05">
      <w:pPr>
        <w:pStyle w:val="8"/>
        <w:numPr>
          <w:ilvl w:val="0"/>
          <w:numId w:val="1"/>
        </w:numPr>
        <w:spacing w:line="360" w:lineRule="auto"/>
        <w:ind w:firstLineChars="0"/>
        <w:rPr>
          <w:rFonts w:hint="eastAsia" w:ascii="宋体" w:hAnsi="宋体" w:cs="宋体"/>
          <w:szCs w:val="21"/>
        </w:rPr>
      </w:pPr>
      <w:r>
        <w:rPr>
          <w:rFonts w:hint="eastAsia" w:ascii="宋体" w:hAnsi="宋体" w:cs="宋体"/>
          <w:szCs w:val="21"/>
        </w:rPr>
        <w:t>▲吊塔内部网络模块性能符合 TIA/EIA 568C.2 标准要求的六类非屏蔽双绞线性能要求标准，需采用六类非屏蔽模块接口，网络模块推荐品牌为康普、西蒙、康宁</w:t>
      </w:r>
      <w:r>
        <w:rPr>
          <w:rFonts w:hint="eastAsia" w:ascii="宋体" w:hAnsi="宋体" w:cs="宋体"/>
          <w:szCs w:val="21"/>
          <w:lang w:eastAsia="zh-CN"/>
        </w:rPr>
        <w:t>、</w:t>
      </w:r>
      <w:r>
        <w:rPr>
          <w:rFonts w:hint="eastAsia" w:ascii="宋体" w:hAnsi="宋体" w:cs="宋体"/>
          <w:szCs w:val="21"/>
          <w:lang w:val="en-US" w:eastAsia="zh-CN"/>
        </w:rPr>
        <w:t>罗格朗、ABB</w:t>
      </w:r>
      <w:r>
        <w:rPr>
          <w:rFonts w:hint="eastAsia" w:ascii="宋体" w:hAnsi="宋体" w:cs="宋体"/>
          <w:szCs w:val="21"/>
        </w:rPr>
        <w:t>。</w:t>
      </w:r>
    </w:p>
    <w:p w14:paraId="49BDD50A">
      <w:pPr>
        <w:pStyle w:val="8"/>
        <w:numPr>
          <w:ilvl w:val="0"/>
          <w:numId w:val="1"/>
        </w:numPr>
        <w:spacing w:line="360" w:lineRule="auto"/>
        <w:ind w:firstLineChars="0"/>
        <w:rPr>
          <w:rFonts w:hint="eastAsia" w:ascii="宋体" w:hAnsi="宋体" w:cs="宋体"/>
          <w:szCs w:val="21"/>
        </w:rPr>
      </w:pPr>
      <w:r>
        <w:rPr>
          <w:rFonts w:hint="eastAsia" w:ascii="宋体" w:hAnsi="宋体" w:cs="宋体"/>
          <w:szCs w:val="21"/>
        </w:rPr>
        <w:t>▲吊塔的医用气体管道系统（刹车除外）承受≥1.2MPa的气压试验，不得出现明显漏气或破裂现象。（提供具有CMA或CNAS</w:t>
      </w:r>
      <w:r>
        <w:rPr>
          <w:rFonts w:hint="eastAsia" w:ascii="宋体" w:hAnsi="宋体" w:cs="宋体"/>
          <w:szCs w:val="21"/>
          <w:lang w:eastAsia="zh-CN"/>
        </w:rPr>
        <w:t>资质的机构出具的第三方检测报告</w:t>
      </w:r>
      <w:r>
        <w:rPr>
          <w:rFonts w:hint="eastAsia" w:ascii="宋体" w:hAnsi="宋体" w:cs="宋体"/>
          <w:szCs w:val="21"/>
        </w:rPr>
        <w:t>出具的检测报告）</w:t>
      </w:r>
    </w:p>
    <w:p w14:paraId="1ACDB4E5">
      <w:pPr>
        <w:pStyle w:val="8"/>
        <w:numPr>
          <w:ilvl w:val="0"/>
          <w:numId w:val="1"/>
        </w:numPr>
        <w:spacing w:line="360" w:lineRule="auto"/>
        <w:ind w:firstLineChars="0"/>
        <w:rPr>
          <w:rFonts w:hint="eastAsia" w:ascii="宋体" w:hAnsi="宋体" w:cs="宋体"/>
          <w:szCs w:val="21"/>
        </w:rPr>
      </w:pPr>
      <w:r>
        <w:rPr>
          <w:rFonts w:hint="eastAsia" w:ascii="宋体" w:hAnsi="宋体" w:cs="宋体"/>
          <w:szCs w:val="21"/>
        </w:rPr>
        <w:t>▲吊塔的负压吸引系统承受≥500kPa的气压试验，不得出现明显漏气或破裂现象。（提供第三方具有CMA或CNAS</w:t>
      </w:r>
      <w:r>
        <w:rPr>
          <w:rFonts w:hint="eastAsia" w:ascii="宋体" w:hAnsi="宋体" w:cs="宋体"/>
          <w:szCs w:val="21"/>
          <w:lang w:eastAsia="zh-CN"/>
        </w:rPr>
        <w:t>资质的机构出具的第三方检测报告</w:t>
      </w:r>
      <w:r>
        <w:rPr>
          <w:rFonts w:hint="eastAsia" w:ascii="宋体" w:hAnsi="宋体" w:cs="宋体"/>
          <w:szCs w:val="21"/>
        </w:rPr>
        <w:t>检测报告）</w:t>
      </w:r>
    </w:p>
    <w:p w14:paraId="09251498">
      <w:pPr>
        <w:pStyle w:val="8"/>
        <w:numPr>
          <w:ilvl w:val="0"/>
          <w:numId w:val="1"/>
        </w:numPr>
        <w:spacing w:line="360" w:lineRule="auto"/>
        <w:ind w:firstLineChars="0"/>
        <w:rPr>
          <w:rFonts w:hint="eastAsia" w:ascii="宋体" w:hAnsi="宋体" w:cs="宋体"/>
          <w:szCs w:val="21"/>
        </w:rPr>
      </w:pPr>
      <w:r>
        <w:rPr>
          <w:rFonts w:hint="eastAsia" w:ascii="宋体" w:hAnsi="宋体" w:cs="宋体"/>
          <w:szCs w:val="21"/>
        </w:rPr>
        <w:t>▲吊塔内部的医用气体管道系统的气密性承受≥400kPa的气压，≥5min后，压降≤1%，气管为医用气体管路，医用气体软管为PVC三层管设计，内层为食品级材料，中间层为聚酯线加强层，坚韧性强，符合医疗标准无异味，符合生物相容性要求。（提供第三方具有CMA或CNAS</w:t>
      </w:r>
      <w:r>
        <w:rPr>
          <w:rFonts w:hint="eastAsia" w:ascii="宋体" w:hAnsi="宋体" w:cs="宋体"/>
          <w:szCs w:val="21"/>
          <w:lang w:eastAsia="zh-CN"/>
        </w:rPr>
        <w:t>资质的机构出具的第三方检测报告</w:t>
      </w:r>
      <w:r>
        <w:rPr>
          <w:rFonts w:hint="eastAsia" w:ascii="宋体" w:hAnsi="宋体" w:cs="宋体"/>
          <w:szCs w:val="21"/>
        </w:rPr>
        <w:t>检测报告）</w:t>
      </w:r>
    </w:p>
    <w:p w14:paraId="47EE6DE0">
      <w:pPr>
        <w:pStyle w:val="8"/>
        <w:numPr>
          <w:ilvl w:val="0"/>
          <w:numId w:val="1"/>
        </w:numPr>
        <w:spacing w:line="360" w:lineRule="auto"/>
        <w:ind w:firstLineChars="0"/>
        <w:rPr>
          <w:rFonts w:hint="eastAsia" w:ascii="宋体" w:hAnsi="宋体" w:cs="宋体"/>
          <w:szCs w:val="21"/>
        </w:rPr>
      </w:pPr>
      <w:r>
        <w:rPr>
          <w:rFonts w:hint="eastAsia" w:ascii="宋体" w:hAnsi="宋体" w:cs="宋体"/>
          <w:szCs w:val="21"/>
        </w:rPr>
        <w:t>托盘为铝合金材质，一体成型，纯平设计，表面无螺钉，配备一体化抽拉式键盘托；抽屉采用抽拉式，自带吸合功能</w:t>
      </w:r>
      <w:r>
        <w:rPr>
          <w:rFonts w:hint="eastAsia" w:ascii="宋体" w:hAnsi="宋体" w:cs="宋体"/>
          <w:szCs w:val="21"/>
          <w:lang w:eastAsia="zh-CN"/>
        </w:rPr>
        <w:t>。</w:t>
      </w:r>
    </w:p>
    <w:p w14:paraId="6DA2A505">
      <w:pPr>
        <w:pStyle w:val="8"/>
        <w:numPr>
          <w:ilvl w:val="0"/>
          <w:numId w:val="1"/>
        </w:numPr>
        <w:spacing w:line="360" w:lineRule="auto"/>
        <w:ind w:firstLineChars="0"/>
        <w:rPr>
          <w:rFonts w:hint="eastAsia" w:ascii="宋体" w:hAnsi="宋体" w:cs="宋体"/>
          <w:szCs w:val="21"/>
        </w:rPr>
      </w:pPr>
      <w:r>
        <w:rPr>
          <w:rFonts w:hint="eastAsia" w:ascii="宋体" w:hAnsi="宋体" w:cs="宋体"/>
          <w:szCs w:val="21"/>
        </w:rPr>
        <w:t>吊塔外壳的防火等级数值≤UL94-V1。</w:t>
      </w:r>
    </w:p>
    <w:p w14:paraId="4868A790">
      <w:pPr>
        <w:pStyle w:val="8"/>
        <w:numPr>
          <w:ilvl w:val="0"/>
          <w:numId w:val="1"/>
        </w:numPr>
        <w:spacing w:line="360" w:lineRule="auto"/>
        <w:ind w:firstLineChars="0"/>
        <w:rPr>
          <w:rFonts w:hint="eastAsia" w:ascii="宋体" w:hAnsi="宋体" w:cs="宋体"/>
          <w:szCs w:val="21"/>
        </w:rPr>
      </w:pPr>
      <w:r>
        <w:rPr>
          <w:rFonts w:hint="eastAsia" w:ascii="宋体" w:hAnsi="宋体" w:cs="宋体"/>
          <w:szCs w:val="21"/>
        </w:rPr>
        <w:t>吊塔外观件具有耐黄变性能，可耐受紫外线照射72h，外观无明显异常。</w:t>
      </w:r>
    </w:p>
    <w:p w14:paraId="49BDD511">
      <w:pPr>
        <w:pStyle w:val="8"/>
        <w:numPr>
          <w:ilvl w:val="0"/>
          <w:numId w:val="1"/>
        </w:numPr>
        <w:spacing w:line="360" w:lineRule="auto"/>
        <w:ind w:firstLineChars="0"/>
        <w:rPr>
          <w:rFonts w:hint="eastAsia" w:ascii="宋体" w:hAnsi="宋体" w:cs="宋体"/>
          <w:szCs w:val="21"/>
        </w:rPr>
      </w:pPr>
      <w:r>
        <w:rPr>
          <w:rFonts w:hint="eastAsia" w:ascii="宋体" w:hAnsi="宋体" w:cs="宋体"/>
          <w:szCs w:val="21"/>
        </w:rPr>
        <w:t>吊塔外观件可耐受以下消毒剂：戊二醛 2%、乙醇 70%、双氧水 3%，不发生变色开裂等外观破损现象。</w:t>
      </w:r>
    </w:p>
    <w:p w14:paraId="0B2CE8C6">
      <w:pPr>
        <w:pStyle w:val="8"/>
        <w:numPr>
          <w:ilvl w:val="0"/>
          <w:numId w:val="1"/>
        </w:numPr>
        <w:spacing w:line="360" w:lineRule="auto"/>
        <w:ind w:firstLineChars="0"/>
        <w:rPr>
          <w:rFonts w:hint="eastAsia" w:ascii="宋体" w:hAnsi="宋体" w:cs="宋体"/>
          <w:szCs w:val="21"/>
        </w:rPr>
      </w:pPr>
      <w:r>
        <w:rPr>
          <w:rFonts w:hint="eastAsia" w:ascii="宋体" w:hAnsi="宋体" w:cs="宋体"/>
          <w:szCs w:val="21"/>
        </w:rPr>
        <w:t>吊塔在正常工作过程中噪声≤ 30dB（A）。</w:t>
      </w:r>
    </w:p>
    <w:p w14:paraId="713A7541">
      <w:pPr>
        <w:pStyle w:val="8"/>
        <w:numPr>
          <w:ilvl w:val="0"/>
          <w:numId w:val="1"/>
        </w:numPr>
        <w:spacing w:line="360" w:lineRule="auto"/>
        <w:ind w:firstLineChars="0"/>
        <w:rPr>
          <w:rFonts w:hint="eastAsia" w:ascii="宋体" w:hAnsi="宋体" w:cs="宋体"/>
          <w:szCs w:val="21"/>
        </w:rPr>
      </w:pPr>
      <w:r>
        <w:rPr>
          <w:rFonts w:hint="eastAsia" w:ascii="宋体" w:hAnsi="宋体" w:cs="宋体"/>
          <w:szCs w:val="21"/>
        </w:rPr>
        <w:t>▲吊塔内部应配置≥</w:t>
      </w:r>
      <w:r>
        <w:rPr>
          <w:rFonts w:hint="eastAsia" w:ascii="宋体" w:hAnsi="宋体" w:cs="宋体"/>
          <w:szCs w:val="21"/>
          <w:lang w:val="en-US" w:eastAsia="zh-CN"/>
        </w:rPr>
        <w:t>6</w:t>
      </w:r>
      <w:r>
        <w:rPr>
          <w:rFonts w:hint="eastAsia" w:ascii="宋体" w:hAnsi="宋体" w:cs="宋体"/>
          <w:szCs w:val="21"/>
        </w:rPr>
        <w:t>平方毫米低烟无卤材质接地线，避免金属外壳漏电，保护接地端子与任何已保护接地部件之间的阻抗，不应超过100m Ω  （提供具有CMA或CNAS</w:t>
      </w:r>
      <w:r>
        <w:rPr>
          <w:rFonts w:hint="eastAsia" w:ascii="宋体" w:hAnsi="宋体" w:cs="宋体"/>
          <w:szCs w:val="21"/>
          <w:lang w:eastAsia="zh-CN"/>
        </w:rPr>
        <w:t>资质的机构出具的第三方检测报告）</w:t>
      </w:r>
    </w:p>
    <w:p w14:paraId="49BDD514">
      <w:pPr>
        <w:pStyle w:val="8"/>
        <w:numPr>
          <w:ilvl w:val="0"/>
          <w:numId w:val="1"/>
        </w:numPr>
        <w:spacing w:line="360" w:lineRule="auto"/>
        <w:ind w:firstLineChars="0"/>
        <w:rPr>
          <w:rFonts w:hint="eastAsia" w:ascii="宋体" w:hAnsi="宋体" w:cs="宋体"/>
          <w:szCs w:val="21"/>
        </w:rPr>
      </w:pPr>
      <w:r>
        <w:rPr>
          <w:rFonts w:hint="eastAsia" w:ascii="宋体" w:hAnsi="宋体" w:cs="宋体"/>
          <w:szCs w:val="21"/>
        </w:rPr>
        <w:t>吊塔配置要求/套：</w:t>
      </w:r>
    </w:p>
    <w:p w14:paraId="49BDD515">
      <w:pPr>
        <w:numPr>
          <w:ilvl w:val="0"/>
          <w:numId w:val="2"/>
        </w:numPr>
        <w:spacing w:line="360" w:lineRule="auto"/>
        <w:rPr>
          <w:rFonts w:hint="eastAsia" w:ascii="宋体" w:hAnsi="宋体" w:cs="宋体"/>
          <w:szCs w:val="21"/>
        </w:rPr>
      </w:pPr>
      <w:r>
        <w:rPr>
          <w:rFonts w:hint="eastAsia" w:ascii="宋体" w:hAnsi="宋体" w:cs="宋体"/>
          <w:szCs w:val="21"/>
        </w:rPr>
        <w:t xml:space="preserve">机械双悬臂（长度≥700mm+700mm） </w:t>
      </w:r>
      <w:r>
        <w:rPr>
          <w:rFonts w:ascii="宋体" w:hAnsi="宋体" w:cs="宋体"/>
          <w:szCs w:val="21"/>
        </w:rPr>
        <w:t xml:space="preserve">            </w:t>
      </w:r>
      <w:r>
        <w:rPr>
          <w:rFonts w:hint="eastAsia" w:ascii="宋体" w:hAnsi="宋体" w:cs="宋体"/>
          <w:szCs w:val="21"/>
        </w:rPr>
        <w:t xml:space="preserve"> 1套</w:t>
      </w:r>
    </w:p>
    <w:p w14:paraId="49BDD516">
      <w:pPr>
        <w:numPr>
          <w:ilvl w:val="0"/>
          <w:numId w:val="2"/>
        </w:numPr>
        <w:spacing w:line="360" w:lineRule="auto"/>
        <w:rPr>
          <w:rFonts w:hint="eastAsia" w:ascii="宋体" w:hAnsi="宋体" w:cs="宋体"/>
          <w:szCs w:val="21"/>
        </w:rPr>
      </w:pPr>
      <w:r>
        <w:rPr>
          <w:rFonts w:hint="eastAsia" w:ascii="宋体" w:hAnsi="宋体" w:cs="宋体"/>
          <w:szCs w:val="21"/>
        </w:rPr>
        <w:t>吊柱式气电箱 (≥1000mm，带一键电源开关)      1套</w:t>
      </w:r>
    </w:p>
    <w:p w14:paraId="49BDD517">
      <w:pPr>
        <w:numPr>
          <w:ilvl w:val="0"/>
          <w:numId w:val="2"/>
        </w:numPr>
        <w:spacing w:line="360" w:lineRule="auto"/>
        <w:rPr>
          <w:rFonts w:hint="eastAsia" w:ascii="宋体" w:hAnsi="宋体" w:cs="宋体"/>
          <w:kern w:val="0"/>
          <w:szCs w:val="21"/>
        </w:rPr>
      </w:pPr>
      <w:r>
        <w:rPr>
          <w:rFonts w:hint="eastAsia" w:ascii="宋体" w:hAnsi="宋体" w:cs="宋体"/>
          <w:kern w:val="0"/>
          <w:szCs w:val="21"/>
        </w:rPr>
        <w:t>托盘（</w:t>
      </w:r>
      <w:r>
        <w:rPr>
          <w:rFonts w:hint="eastAsia" w:ascii="宋体" w:hAnsi="宋体" w:cs="宋体"/>
          <w:szCs w:val="21"/>
        </w:rPr>
        <w:t>≥500mm*480mm</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4层</w:t>
      </w:r>
    </w:p>
    <w:p w14:paraId="49BDD518">
      <w:pPr>
        <w:numPr>
          <w:ilvl w:val="0"/>
          <w:numId w:val="2"/>
        </w:numPr>
        <w:spacing w:line="360" w:lineRule="auto"/>
        <w:rPr>
          <w:rFonts w:hint="eastAsia" w:ascii="宋体" w:hAnsi="宋体" w:cs="宋体"/>
          <w:kern w:val="0"/>
          <w:szCs w:val="21"/>
        </w:rPr>
      </w:pPr>
      <w:r>
        <w:rPr>
          <w:rFonts w:hint="eastAsia" w:ascii="宋体" w:hAnsi="宋体" w:cs="宋体"/>
          <w:kern w:val="0"/>
          <w:szCs w:val="21"/>
        </w:rPr>
        <w:t>键盘托                                       1套</w:t>
      </w:r>
    </w:p>
    <w:p w14:paraId="49BDD519">
      <w:pPr>
        <w:numPr>
          <w:ilvl w:val="0"/>
          <w:numId w:val="2"/>
        </w:numPr>
        <w:spacing w:line="360" w:lineRule="auto"/>
        <w:rPr>
          <w:rFonts w:hint="eastAsia" w:ascii="宋体" w:hAnsi="宋体" w:cs="宋体"/>
          <w:szCs w:val="21"/>
        </w:rPr>
      </w:pPr>
      <w:r>
        <w:rPr>
          <w:rFonts w:hint="eastAsia" w:ascii="宋体" w:hAnsi="宋体" w:cs="宋体"/>
          <w:szCs w:val="21"/>
        </w:rPr>
        <w:t xml:space="preserve">抽屉                                      </w:t>
      </w:r>
      <w:r>
        <w:rPr>
          <w:rFonts w:ascii="宋体" w:hAnsi="宋体" w:cs="宋体"/>
          <w:szCs w:val="21"/>
        </w:rPr>
        <w:t xml:space="preserve">   </w:t>
      </w:r>
      <w:r>
        <w:rPr>
          <w:rFonts w:hint="eastAsia" w:ascii="宋体" w:hAnsi="宋体" w:cs="宋体"/>
          <w:szCs w:val="21"/>
        </w:rPr>
        <w:t>1个</w:t>
      </w:r>
    </w:p>
    <w:p w14:paraId="49BDD51A">
      <w:pPr>
        <w:numPr>
          <w:ilvl w:val="0"/>
          <w:numId w:val="2"/>
        </w:numPr>
        <w:spacing w:line="360" w:lineRule="auto"/>
        <w:rPr>
          <w:rFonts w:hint="eastAsia" w:ascii="宋体" w:hAnsi="宋体" w:cs="宋体"/>
          <w:szCs w:val="21"/>
        </w:rPr>
      </w:pPr>
      <w:r>
        <w:rPr>
          <w:rFonts w:hint="eastAsia" w:ascii="宋体" w:hAnsi="宋体" w:cs="宋体"/>
          <w:szCs w:val="21"/>
        </w:rPr>
        <w:t xml:space="preserve">双关节延伸臂及输液架 </w:t>
      </w:r>
      <w:r>
        <w:rPr>
          <w:rFonts w:ascii="宋体" w:hAnsi="宋体" w:cs="宋体"/>
          <w:szCs w:val="21"/>
        </w:rPr>
        <w:t xml:space="preserve">                        1</w:t>
      </w:r>
      <w:r>
        <w:rPr>
          <w:rFonts w:hint="eastAsia" w:ascii="宋体" w:hAnsi="宋体" w:cs="宋体"/>
          <w:szCs w:val="21"/>
        </w:rPr>
        <w:t>套</w:t>
      </w:r>
    </w:p>
    <w:p w14:paraId="49BDD51B">
      <w:pPr>
        <w:numPr>
          <w:ilvl w:val="0"/>
          <w:numId w:val="2"/>
        </w:numPr>
        <w:spacing w:line="360" w:lineRule="auto"/>
        <w:rPr>
          <w:rFonts w:hint="eastAsia" w:ascii="宋体" w:hAnsi="宋体" w:cs="宋体"/>
          <w:szCs w:val="21"/>
        </w:rPr>
      </w:pPr>
      <w:r>
        <w:rPr>
          <w:rFonts w:hint="eastAsia" w:ascii="宋体" w:hAnsi="宋体" w:cs="宋体"/>
          <w:b w:val="0"/>
          <w:bCs w:val="0"/>
          <w:color w:val="000000" w:themeColor="text1"/>
          <w:szCs w:val="21"/>
          <w14:textFill>
            <w14:solidFill>
              <w14:schemeClr w14:val="tx1"/>
            </w14:solidFill>
          </w14:textFill>
        </w:rPr>
        <w:t xml:space="preserve">内镜杯托 </w:t>
      </w:r>
      <w:r>
        <w:rPr>
          <w:rFonts w:hint="eastAsia" w:ascii="宋体" w:hAnsi="宋体" w:cs="宋体"/>
          <w:szCs w:val="21"/>
        </w:rPr>
        <w:t xml:space="preserve">                                    2个</w:t>
      </w:r>
    </w:p>
    <w:p w14:paraId="49BDD51C">
      <w:pPr>
        <w:numPr>
          <w:ilvl w:val="0"/>
          <w:numId w:val="2"/>
        </w:numPr>
        <w:spacing w:line="360" w:lineRule="auto"/>
        <w:rPr>
          <w:rFonts w:hint="eastAsia" w:ascii="宋体" w:hAnsi="宋体" w:cs="宋体"/>
          <w:kern w:val="0"/>
          <w:szCs w:val="21"/>
        </w:rPr>
      </w:pPr>
      <w:r>
        <w:rPr>
          <w:rFonts w:hint="eastAsia" w:ascii="宋体" w:hAnsi="宋体" w:cs="宋体"/>
          <w:kern w:val="0"/>
          <w:szCs w:val="21"/>
        </w:rPr>
        <w:t>气体终端（德标，氧气</w:t>
      </w:r>
      <w:r>
        <w:rPr>
          <w:rFonts w:ascii="宋体" w:hAnsi="宋体" w:cs="宋体"/>
          <w:kern w:val="0"/>
          <w:szCs w:val="21"/>
        </w:rPr>
        <w:t>2</w:t>
      </w:r>
      <w:r>
        <w:rPr>
          <w:rFonts w:hint="eastAsia" w:ascii="宋体" w:hAnsi="宋体" w:cs="宋体"/>
          <w:kern w:val="0"/>
          <w:szCs w:val="21"/>
        </w:rPr>
        <w:t>个，负压吸引2个，空气</w:t>
      </w:r>
      <w:r>
        <w:rPr>
          <w:rFonts w:ascii="宋体" w:hAnsi="宋体" w:cs="宋体"/>
          <w:kern w:val="0"/>
          <w:szCs w:val="21"/>
        </w:rPr>
        <w:t>1</w:t>
      </w:r>
      <w:r>
        <w:rPr>
          <w:rFonts w:hint="eastAsia" w:ascii="宋体" w:hAnsi="宋体" w:cs="宋体"/>
          <w:kern w:val="0"/>
          <w:szCs w:val="21"/>
        </w:rPr>
        <w:t>个）</w:t>
      </w:r>
    </w:p>
    <w:p w14:paraId="49BDD51D">
      <w:pPr>
        <w:numPr>
          <w:ilvl w:val="0"/>
          <w:numId w:val="2"/>
        </w:numPr>
        <w:spacing w:line="360" w:lineRule="auto"/>
        <w:rPr>
          <w:rFonts w:hint="eastAsia" w:ascii="宋体" w:hAnsi="宋体" w:cs="宋体"/>
          <w:szCs w:val="21"/>
        </w:rPr>
      </w:pPr>
      <w:r>
        <w:rPr>
          <w:rFonts w:hint="eastAsia" w:ascii="宋体" w:hAnsi="宋体" w:cs="宋体"/>
          <w:szCs w:val="21"/>
        </w:rPr>
        <w:t>10A国标电源插座</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 xml:space="preserve">     12个</w:t>
      </w:r>
    </w:p>
    <w:p w14:paraId="49BDD51E">
      <w:pPr>
        <w:numPr>
          <w:ilvl w:val="0"/>
          <w:numId w:val="2"/>
        </w:numPr>
        <w:spacing w:line="360" w:lineRule="auto"/>
        <w:rPr>
          <w:rFonts w:hint="eastAsia" w:ascii="宋体" w:hAnsi="宋体" w:cs="宋体"/>
          <w:szCs w:val="21"/>
        </w:rPr>
      </w:pPr>
      <w:r>
        <w:rPr>
          <w:rFonts w:hint="eastAsia" w:ascii="宋体" w:hAnsi="宋体" w:cs="宋体"/>
          <w:szCs w:val="21"/>
        </w:rPr>
        <w:t>16A国标电源插座                              2个</w:t>
      </w:r>
    </w:p>
    <w:p w14:paraId="49BDD51F">
      <w:pPr>
        <w:numPr>
          <w:ilvl w:val="0"/>
          <w:numId w:val="2"/>
        </w:numPr>
        <w:spacing w:line="360" w:lineRule="auto"/>
        <w:rPr>
          <w:rFonts w:hint="eastAsia" w:ascii="宋体" w:hAnsi="宋体" w:cs="宋体"/>
          <w:szCs w:val="21"/>
        </w:rPr>
      </w:pPr>
      <w:r>
        <w:rPr>
          <w:rFonts w:hint="eastAsia" w:ascii="宋体" w:hAnsi="宋体" w:cs="宋体"/>
          <w:szCs w:val="21"/>
        </w:rPr>
        <w:t xml:space="preserve">六类非屏蔽模块网络接口                      </w:t>
      </w:r>
      <w:r>
        <w:rPr>
          <w:rFonts w:ascii="宋体" w:hAnsi="宋体" w:cs="宋体"/>
          <w:szCs w:val="21"/>
        </w:rPr>
        <w:t xml:space="preserve"> 2</w:t>
      </w:r>
      <w:r>
        <w:rPr>
          <w:rFonts w:hint="eastAsia" w:ascii="宋体" w:hAnsi="宋体" w:cs="宋体"/>
          <w:szCs w:val="21"/>
        </w:rPr>
        <w:t xml:space="preserve">个 </w:t>
      </w:r>
    </w:p>
    <w:p w14:paraId="49BDD520">
      <w:pPr>
        <w:numPr>
          <w:ilvl w:val="0"/>
          <w:numId w:val="2"/>
        </w:numPr>
        <w:spacing w:line="360" w:lineRule="auto"/>
        <w:rPr>
          <w:rFonts w:hint="eastAsia" w:ascii="宋体" w:hAnsi="宋体" w:cs="宋体"/>
          <w:szCs w:val="21"/>
        </w:rPr>
      </w:pPr>
      <w:r>
        <w:rPr>
          <w:rFonts w:hint="eastAsia" w:ascii="宋体" w:hAnsi="宋体" w:cs="宋体"/>
          <w:szCs w:val="21"/>
        </w:rPr>
        <w:t xml:space="preserve">等电位端子                                 </w:t>
      </w:r>
      <w:r>
        <w:rPr>
          <w:rFonts w:ascii="宋体" w:hAnsi="宋体" w:cs="宋体"/>
          <w:szCs w:val="21"/>
        </w:rPr>
        <w:t xml:space="preserve">  </w:t>
      </w:r>
      <w:r>
        <w:rPr>
          <w:rFonts w:hint="eastAsia" w:ascii="宋体" w:hAnsi="宋体" w:cs="宋体"/>
          <w:szCs w:val="21"/>
        </w:rPr>
        <w:t>2个</w:t>
      </w:r>
    </w:p>
    <w:p w14:paraId="49BDD521">
      <w:pPr>
        <w:numPr>
          <w:ilvl w:val="0"/>
          <w:numId w:val="2"/>
        </w:numPr>
        <w:spacing w:line="360" w:lineRule="auto"/>
        <w:rPr>
          <w:rFonts w:hint="eastAsia" w:ascii="宋体" w:hAnsi="宋体" w:cs="宋体"/>
          <w:szCs w:val="21"/>
        </w:rPr>
      </w:pPr>
      <w:r>
        <w:rPr>
          <w:rFonts w:hint="eastAsia" w:ascii="宋体" w:hAnsi="宋体" w:cs="宋体"/>
          <w:szCs w:val="21"/>
        </w:rPr>
        <w:t>视频接口                                     2个</w:t>
      </w:r>
    </w:p>
    <w:p w14:paraId="49BDD522">
      <w:pPr>
        <w:numPr>
          <w:ilvl w:val="0"/>
          <w:numId w:val="2"/>
        </w:numPr>
        <w:spacing w:line="360" w:lineRule="auto"/>
        <w:rPr>
          <w:rFonts w:hint="eastAsia" w:ascii="宋体" w:hAnsi="宋体" w:cs="宋体"/>
          <w:szCs w:val="21"/>
        </w:rPr>
      </w:pPr>
      <w:r>
        <w:rPr>
          <w:rFonts w:hint="eastAsia" w:ascii="宋体" w:hAnsi="宋体" w:cs="宋体"/>
          <w:szCs w:val="21"/>
        </w:rPr>
        <w:t>端口预留                                     2个</w:t>
      </w:r>
    </w:p>
    <w:p w14:paraId="49BDD523">
      <w:pPr>
        <w:numPr>
          <w:ilvl w:val="0"/>
          <w:numId w:val="2"/>
        </w:numPr>
        <w:spacing w:line="360" w:lineRule="auto"/>
        <w:rPr>
          <w:rFonts w:hint="eastAsia" w:ascii="宋体" w:hAnsi="宋体" w:cs="宋体"/>
          <w:szCs w:val="21"/>
        </w:rPr>
      </w:pPr>
      <w:r>
        <w:rPr>
          <w:rFonts w:hint="eastAsia" w:ascii="宋体" w:hAnsi="宋体" w:cs="宋体"/>
          <w:szCs w:val="21"/>
        </w:rPr>
        <w:t>网篮                                         1个</w:t>
      </w:r>
    </w:p>
    <w:p w14:paraId="49BDD524">
      <w:pPr>
        <w:numPr>
          <w:ilvl w:val="0"/>
          <w:numId w:val="3"/>
        </w:numPr>
        <w:spacing w:line="360" w:lineRule="auto"/>
        <w:rPr>
          <w:rFonts w:hint="eastAsia" w:ascii="宋体" w:hAnsi="宋体" w:cs="宋体"/>
          <w:b/>
          <w:sz w:val="28"/>
          <w:szCs w:val="28"/>
        </w:rPr>
      </w:pPr>
      <w:r>
        <w:rPr>
          <w:rFonts w:hint="eastAsia" w:ascii="宋体" w:hAnsi="宋体" w:cs="宋体"/>
          <w:b/>
          <w:sz w:val="28"/>
          <w:szCs w:val="28"/>
        </w:rPr>
        <w:t>双显示器弹簧吊臂参数配置要求</w:t>
      </w:r>
    </w:p>
    <w:p w14:paraId="49BDD525">
      <w:pPr>
        <w:pStyle w:val="8"/>
        <w:numPr>
          <w:ilvl w:val="0"/>
          <w:numId w:val="4"/>
        </w:numPr>
        <w:spacing w:line="360" w:lineRule="auto"/>
        <w:ind w:firstLineChars="0"/>
        <w:rPr>
          <w:rFonts w:hint="eastAsia" w:ascii="宋体" w:hAnsi="宋体" w:cs="宋体"/>
          <w:szCs w:val="21"/>
        </w:rPr>
      </w:pPr>
      <w:r>
        <w:rPr>
          <w:rFonts w:hint="eastAsia" w:ascii="宋体" w:hAnsi="宋体" w:cs="宋体"/>
          <w:szCs w:val="21"/>
        </w:rPr>
        <w:t>弹簧吊臂主体材料为铝镁合金，一体成型，全封闭式设计。</w:t>
      </w:r>
    </w:p>
    <w:p w14:paraId="49BDD526">
      <w:pPr>
        <w:pStyle w:val="8"/>
        <w:numPr>
          <w:ilvl w:val="0"/>
          <w:numId w:val="4"/>
        </w:numPr>
        <w:spacing w:line="360" w:lineRule="auto"/>
        <w:ind w:firstLineChars="0"/>
        <w:rPr>
          <w:rFonts w:hint="eastAsia" w:ascii="宋体" w:hAnsi="宋体" w:cs="宋体"/>
          <w:b w:val="0"/>
          <w:bCs w:val="0"/>
          <w:color w:val="auto"/>
          <w:szCs w:val="21"/>
        </w:rPr>
      </w:pPr>
      <w:r>
        <w:rPr>
          <w:rFonts w:hint="eastAsia" w:ascii="宋体" w:hAnsi="宋体" w:cs="宋体"/>
          <w:b w:val="0"/>
          <w:bCs w:val="0"/>
          <w:color w:val="auto"/>
          <w:szCs w:val="21"/>
        </w:rPr>
        <w:t>弹簧吊臂总长度≥1600mm。</w:t>
      </w:r>
    </w:p>
    <w:p w14:paraId="49BDD527">
      <w:pPr>
        <w:pStyle w:val="8"/>
        <w:numPr>
          <w:ilvl w:val="0"/>
          <w:numId w:val="4"/>
        </w:numPr>
        <w:spacing w:line="360" w:lineRule="auto"/>
        <w:ind w:firstLineChars="0"/>
        <w:rPr>
          <w:rFonts w:hint="eastAsia" w:ascii="宋体" w:hAnsi="宋体" w:cs="宋体"/>
          <w:szCs w:val="21"/>
        </w:rPr>
      </w:pPr>
      <w:r>
        <w:rPr>
          <w:rFonts w:hint="eastAsia" w:ascii="宋体" w:hAnsi="宋体" w:cs="宋体"/>
          <w:szCs w:val="21"/>
        </w:rPr>
        <w:t>弹簧吊臂可旋转角度≥3</w:t>
      </w:r>
      <w:r>
        <w:rPr>
          <w:rFonts w:hint="eastAsia" w:ascii="宋体" w:hAnsi="宋体" w:cs="宋体"/>
          <w:szCs w:val="21"/>
          <w:lang w:val="en-US" w:eastAsia="zh-CN"/>
        </w:rPr>
        <w:t>3</w:t>
      </w:r>
      <w:r>
        <w:rPr>
          <w:rFonts w:hint="eastAsia" w:ascii="宋体" w:hAnsi="宋体" w:cs="宋体"/>
          <w:szCs w:val="21"/>
        </w:rPr>
        <w:t>0°。</w:t>
      </w:r>
    </w:p>
    <w:p w14:paraId="49BDD529">
      <w:pPr>
        <w:pStyle w:val="8"/>
        <w:numPr>
          <w:ilvl w:val="0"/>
          <w:numId w:val="4"/>
        </w:numPr>
        <w:spacing w:line="360" w:lineRule="auto"/>
        <w:ind w:firstLineChars="0"/>
        <w:rPr>
          <w:rFonts w:hint="eastAsia" w:ascii="宋体" w:hAnsi="宋体" w:cs="宋体"/>
          <w:b/>
          <w:bCs/>
          <w:color w:val="FF0000"/>
          <w:szCs w:val="21"/>
        </w:rPr>
      </w:pPr>
      <w:r>
        <w:rPr>
          <w:rFonts w:hint="eastAsia" w:ascii="宋体" w:hAnsi="宋体" w:cs="宋体"/>
          <w:szCs w:val="21"/>
        </w:rPr>
        <w:t>▲弹簧吊臂承重范围至少满足20kg</w:t>
      </w:r>
      <w:r>
        <w:rPr>
          <w:rFonts w:hint="eastAsia" w:ascii="宋体" w:hAnsi="宋体" w:cs="宋体"/>
          <w:szCs w:val="21"/>
          <w:lang w:eastAsia="zh-CN"/>
        </w:rPr>
        <w:t>，</w:t>
      </w:r>
      <w:r>
        <w:rPr>
          <w:rFonts w:hint="eastAsia" w:ascii="宋体" w:hAnsi="宋体" w:cs="宋体"/>
          <w:szCs w:val="21"/>
        </w:rPr>
        <w:t>弹簧</w:t>
      </w:r>
      <w:r>
        <w:rPr>
          <w:rFonts w:hint="eastAsia" w:ascii="宋体" w:hAnsi="宋体" w:cs="宋体"/>
          <w:b w:val="0"/>
          <w:bCs w:val="0"/>
          <w:color w:val="auto"/>
          <w:szCs w:val="21"/>
        </w:rPr>
        <w:t>吊臂与吊塔同基座安装或者独立安装，可同时悬吊两块≥27英寸医用显示器。</w:t>
      </w:r>
      <w:r>
        <w:rPr>
          <w:rFonts w:hint="eastAsia" w:ascii="宋体" w:hAnsi="宋体" w:cs="宋体"/>
          <w:b w:val="0"/>
          <w:bCs w:val="0"/>
          <w:color w:val="auto"/>
          <w:szCs w:val="21"/>
          <w:lang w:eastAsia="zh-CN"/>
        </w:rPr>
        <w:t>（</w:t>
      </w:r>
      <w:r>
        <w:rPr>
          <w:rFonts w:hint="eastAsia" w:ascii="宋体" w:hAnsi="宋体" w:cs="宋体"/>
          <w:b w:val="0"/>
          <w:bCs w:val="0"/>
          <w:color w:val="auto"/>
          <w:szCs w:val="21"/>
          <w:lang w:val="en-US" w:eastAsia="zh-CN"/>
        </w:rPr>
        <w:t>提供现场照片佐证</w:t>
      </w:r>
      <w:r>
        <w:rPr>
          <w:rFonts w:hint="eastAsia" w:ascii="宋体" w:hAnsi="宋体" w:cs="宋体"/>
          <w:b w:val="0"/>
          <w:bCs w:val="0"/>
          <w:color w:val="auto"/>
          <w:szCs w:val="21"/>
          <w:lang w:eastAsia="zh-CN"/>
        </w:rPr>
        <w:t>）</w:t>
      </w:r>
    </w:p>
    <w:p w14:paraId="49BDD52A">
      <w:pPr>
        <w:pStyle w:val="8"/>
        <w:numPr>
          <w:ilvl w:val="0"/>
          <w:numId w:val="4"/>
        </w:numPr>
        <w:spacing w:line="360" w:lineRule="auto"/>
        <w:ind w:firstLineChars="0"/>
        <w:rPr>
          <w:rFonts w:hint="eastAsia" w:ascii="宋体" w:hAnsi="宋体" w:cs="宋体"/>
          <w:szCs w:val="21"/>
        </w:rPr>
      </w:pPr>
      <w:r>
        <w:rPr>
          <w:rFonts w:hint="eastAsia" w:ascii="宋体" w:hAnsi="宋体" w:cs="宋体"/>
          <w:szCs w:val="21"/>
        </w:rPr>
        <w:t>双显示器弹簧吊臂配置要求/套：</w:t>
      </w:r>
    </w:p>
    <w:p w14:paraId="49BDD52B">
      <w:pPr>
        <w:pStyle w:val="8"/>
        <w:numPr>
          <w:ilvl w:val="0"/>
          <w:numId w:val="5"/>
        </w:numPr>
        <w:spacing w:line="360" w:lineRule="auto"/>
        <w:ind w:firstLineChars="0"/>
        <w:rPr>
          <w:rFonts w:hint="eastAsia" w:ascii="宋体" w:hAnsi="宋体" w:cs="宋体"/>
          <w:szCs w:val="21"/>
        </w:rPr>
      </w:pPr>
      <w:r>
        <w:rPr>
          <w:rFonts w:hint="eastAsia" w:ascii="宋体" w:hAnsi="宋体" w:cs="宋体"/>
          <w:szCs w:val="21"/>
        </w:rPr>
        <w:t>装饰罩                                     1套</w:t>
      </w:r>
    </w:p>
    <w:p w14:paraId="49BDD52C">
      <w:pPr>
        <w:pStyle w:val="8"/>
        <w:numPr>
          <w:ilvl w:val="0"/>
          <w:numId w:val="5"/>
        </w:numPr>
        <w:spacing w:line="360" w:lineRule="auto"/>
        <w:ind w:firstLineChars="0"/>
        <w:rPr>
          <w:rFonts w:hint="eastAsia" w:ascii="宋体" w:hAnsi="宋体" w:cs="宋体"/>
          <w:szCs w:val="21"/>
        </w:rPr>
      </w:pPr>
      <w:r>
        <w:rPr>
          <w:rFonts w:hint="eastAsia" w:ascii="宋体" w:hAnsi="宋体" w:cs="宋体"/>
          <w:szCs w:val="21"/>
        </w:rPr>
        <w:t>中心轴                                     1套</w:t>
      </w:r>
    </w:p>
    <w:p w14:paraId="49BDD52D">
      <w:pPr>
        <w:pStyle w:val="8"/>
        <w:numPr>
          <w:ilvl w:val="0"/>
          <w:numId w:val="5"/>
        </w:numPr>
        <w:spacing w:line="360" w:lineRule="auto"/>
        <w:ind w:firstLineChars="0"/>
        <w:rPr>
          <w:rFonts w:hint="eastAsia" w:ascii="宋体" w:hAnsi="宋体" w:cs="宋体"/>
          <w:szCs w:val="21"/>
        </w:rPr>
      </w:pPr>
      <w:r>
        <w:rPr>
          <w:rFonts w:hint="eastAsia" w:ascii="宋体" w:hAnsi="宋体" w:cs="宋体"/>
          <w:szCs w:val="21"/>
        </w:rPr>
        <w:t>弹簧臂                                     1套</w:t>
      </w:r>
    </w:p>
    <w:p w14:paraId="49BDD52E">
      <w:pPr>
        <w:pStyle w:val="8"/>
        <w:numPr>
          <w:ilvl w:val="0"/>
          <w:numId w:val="5"/>
        </w:numPr>
        <w:spacing w:line="360" w:lineRule="auto"/>
        <w:ind w:firstLineChars="0"/>
        <w:rPr>
          <w:rFonts w:hint="eastAsia" w:ascii="宋体" w:hAnsi="宋体" w:cs="宋体"/>
          <w:szCs w:val="21"/>
        </w:rPr>
      </w:pPr>
      <w:r>
        <w:rPr>
          <w:rFonts w:hint="eastAsia" w:ascii="宋体" w:hAnsi="宋体" w:cs="宋体"/>
          <w:szCs w:val="21"/>
        </w:rPr>
        <w:t>双显示器适配挂架                           1套</w:t>
      </w:r>
    </w:p>
    <w:p w14:paraId="24AC47BE">
      <w:pPr>
        <w:rPr>
          <w:rFonts w:hint="eastAsia"/>
        </w:rPr>
      </w:pPr>
    </w:p>
    <w:p w14:paraId="4CAE1AC7">
      <w:pPr>
        <w:rPr>
          <w:rFonts w:hint="eastAsia"/>
        </w:rPr>
      </w:pPr>
    </w:p>
    <w:p w14:paraId="70F3A78F">
      <w:pPr>
        <w:rPr>
          <w:rFonts w:hint="eastAsia"/>
        </w:rPr>
      </w:pPr>
    </w:p>
    <w:p w14:paraId="560BEB3F">
      <w:pPr>
        <w:rPr>
          <w:rFonts w:hint="eastAsia"/>
        </w:rPr>
      </w:pPr>
    </w:p>
    <w:sectPr>
      <w:headerReference r:id="rId5" w:type="first"/>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03E8E42-1F8F-43FB-B281-C29F3058A7C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3117630B-8342-4B40-A61B-10EC37D19638}"/>
  </w:font>
  <w:font w:name="方正公文小标宋">
    <w:panose1 w:val="02000500000000000000"/>
    <w:charset w:val="86"/>
    <w:family w:val="auto"/>
    <w:pitch w:val="default"/>
    <w:sig w:usb0="A00002BF" w:usb1="38CF7CFA" w:usb2="00000016" w:usb3="00000000" w:csb0="00040001" w:csb1="00000000"/>
    <w:embedRegular r:id="rId3" w:fontKey="{459CD26C-76B6-4F0E-90E4-5EBD19CA47E7}"/>
  </w:font>
  <w:font w:name="等线">
    <w:altName w:val="微软雅黑"/>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AC764">
    <w:pPr>
      <w:pStyle w:val="3"/>
    </w:pPr>
    <w:r>
      <mc:AlternateContent>
        <mc:Choice Requires="wps">
          <w:drawing>
            <wp:anchor distT="0" distB="0" distL="0" distR="0" simplePos="0" relativeHeight="251661312" behindDoc="0" locked="0" layoutInCell="1" allowOverlap="1">
              <wp:simplePos x="0" y="0"/>
              <wp:positionH relativeFrom="page">
                <wp:align>left</wp:align>
              </wp:positionH>
              <wp:positionV relativeFrom="page">
                <wp:align>top</wp:align>
              </wp:positionV>
              <wp:extent cx="678180" cy="336550"/>
              <wp:effectExtent l="0" t="0" r="7620" b="6350"/>
              <wp:wrapNone/>
              <wp:docPr id="1079967598" name="文本框 3" descr="Internal"/>
              <wp:cNvGraphicFramePr/>
              <a:graphic xmlns:a="http://schemas.openxmlformats.org/drawingml/2006/main">
                <a:graphicData uri="http://schemas.microsoft.com/office/word/2010/wordprocessingShape">
                  <wps:wsp>
                    <wps:cNvSpPr txBox="1"/>
                    <wps:spPr>
                      <a:xfrm>
                        <a:off x="0" y="0"/>
                        <a:ext cx="678180" cy="336550"/>
                      </a:xfrm>
                      <a:prstGeom prst="rect">
                        <a:avLst/>
                      </a:prstGeom>
                      <a:noFill/>
                      <a:ln>
                        <a:noFill/>
                      </a:ln>
                    </wps:spPr>
                    <wps:txbx>
                      <w:txbxContent>
                        <w:p w14:paraId="1656AD7F">
                          <w:pPr>
                            <w:rPr>
                              <w:rFonts w:ascii="Arial" w:hAnsi="Arial" w:eastAsia="Arial" w:cs="Arial"/>
                              <w:color w:val="FF8F1F"/>
                              <w:sz w:val="20"/>
                              <w:szCs w:val="20"/>
                            </w:rPr>
                          </w:pPr>
                          <w:r>
                            <w:rPr>
                              <w:rFonts w:ascii="Arial" w:hAnsi="Arial" w:eastAsia="Arial" w:cs="Arial"/>
                              <w:color w:val="FF8F1F"/>
                              <w:sz w:val="20"/>
                              <w:szCs w:val="20"/>
                            </w:rPr>
                            <w:t>Internal</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 id="文本框 3" o:spid="_x0000_s1026" o:spt="202" alt="Internal" type="#_x0000_t202" style="position:absolute;left:0pt;height:26.5pt;width:53.4pt;mso-position-horizontal:left;mso-position-horizontal-relative:page;mso-position-vertical:top;mso-position-vertical-relative:page;mso-wrap-style:none;z-index:251661312;mso-width-relative:page;mso-height-relative:page;" filled="f" stroked="f" coordsize="21600,21600" o:gfxdata="UEsDBAoAAAAAAIdO4kAAAAAAAAAAAAAAAAAEAAAAZHJzL1BLAwQUAAAACACHTuJATx5BZtQAAAAE&#10;AQAADwAAAGRycy9kb3ducmV2LnhtbE2PT0vDQBDF74LfYRnBm92t2iJpNj0IgoJFrMVep9nJH8zO&#10;huykqd/erRe9PBje8N7v5euT79SRhtgGtjCfGVDEZXAt1xZ2H083D6CiIDvsApOFb4qwLi4vcsxc&#10;mPidjlupVQrhmKGFRqTPtI5lQx7jLPTEyavC4FHSOdTaDTilcN/pW2OW2mPLqaHBnh4bKr+2o7fw&#10;fB/3MlbVIm5eN5N5mfxufPu09vpqblaghE7y9wxn/IQORWI6hJFdVJ2FNER+9eyZZZpxsLC4M6CL&#10;XP+HL34AUEsDBBQAAAAIAIdO4kDDx40rRQIAAG4EAAAOAAAAZHJzL2Uyb0RvYy54bWytVM1uEzEQ&#10;viPxDpbvdDctSZuomyq0KkKqaKWCODteb3cl/8medLc8ALwBJy7cea4+B5+9SQuFQw9cnPnbb2a+&#10;mcnxyWA0u1Uhds5WfLJXcqasdHVnbyr+8cP5qyPOIglbC+2sqvidivxk+fLFce8Xat+1TtcqMIDY&#10;uOh9xVsivyiKKFtlRNxzXlk4GxeMIKjhpqiD6IFudLFflrOid6H2wUkVI6xno5NvEcNzAF3TdFKd&#10;ObkxytKIGpQWhJZi2/nIl7naplGSLpsmKmK64uiU8oskkNfpLZbHYnEThG87uS1BPKeEJz0Z0Vkk&#10;fYA6EyTYJnR/QZlOBhddQ3vSmWJsJDOCLiblE26uW+FV7gVUR/9Aevx/sPL97VVgXY1NKA/n89nh&#10;dI75W2Ew+ftvX++//7z/8YUdcFarKMHbO0sqWKETcb2PC3x/7YFAwxs3AGRnjzAmPoYmmPSLThn8&#10;oP3ugXY1EJMwzg6PJkfwSLgODmbTaR5L8fixD5HeKmdYEioeMNVMtri9iIRCELoLSbmsO++0zpPV&#10;9g8DApOlSJWPFSaJhvWwbWft6jt0E9y4KNHL8w45L0SkKxGwGSgTt0OXeBrt+oq7rcRZ68Lnf9lT&#10;PAYGL2c9Nq3iFofFmX5nMcj96euyBCplbTIvp0kLWYOw3gl2Y04dlniC6/QyiymO9E5sgjOfcFqr&#10;lA0uYSVyVpx24imNe4/TlGq1ykFYQi/owl57maATWdGvNgQGM7GJnpGTLWtYw8z39mTSnv+u56jH&#10;v4nl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8eQWbUAAAABAEAAA8AAAAAAAAAAQAgAAAAIgAA&#10;AGRycy9kb3ducmV2LnhtbFBLAQIUABQAAAAIAIdO4kDDx40rRQIAAG4EAAAOAAAAAAAAAAEAIAAA&#10;ACMBAABkcnMvZTJvRG9jLnhtbFBLBQYAAAAABgAGAFkBAADaBQAAAAA=&#10;">
              <v:fill on="f" focussize="0,0"/>
              <v:stroke on="f"/>
              <v:imagedata o:title=""/>
              <o:lock v:ext="edit" aspectratio="f"/>
              <v:textbox inset="20pt,15pt,0mm,0mm" style="mso-fit-shape-to-text:t;">
                <w:txbxContent>
                  <w:p w14:paraId="1656AD7F">
                    <w:pPr>
                      <w:rPr>
                        <w:rFonts w:ascii="Arial" w:hAnsi="Arial" w:eastAsia="Arial" w:cs="Arial"/>
                        <w:color w:val="FF8F1F"/>
                        <w:sz w:val="20"/>
                        <w:szCs w:val="20"/>
                      </w:rPr>
                    </w:pPr>
                    <w:r>
                      <w:rPr>
                        <w:rFonts w:ascii="Arial" w:hAnsi="Arial" w:eastAsia="Arial" w:cs="Arial"/>
                        <w:color w:val="FF8F1F"/>
                        <w:sz w:val="20"/>
                        <w:szCs w:val="20"/>
                      </w:rPr>
                      <w:t>Internal</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35AAA">
    <w:pPr>
      <w:pStyle w:val="3"/>
    </w:pPr>
    <w: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top</wp:align>
              </wp:positionV>
              <wp:extent cx="678180" cy="336550"/>
              <wp:effectExtent l="0" t="0" r="7620" b="6350"/>
              <wp:wrapNone/>
              <wp:docPr id="521004363" name="文本框 2" descr="Internal"/>
              <wp:cNvGraphicFramePr/>
              <a:graphic xmlns:a="http://schemas.openxmlformats.org/drawingml/2006/main">
                <a:graphicData uri="http://schemas.microsoft.com/office/word/2010/wordprocessingShape">
                  <wps:wsp>
                    <wps:cNvSpPr txBox="1"/>
                    <wps:spPr>
                      <a:xfrm>
                        <a:off x="0" y="0"/>
                        <a:ext cx="678180" cy="336550"/>
                      </a:xfrm>
                      <a:prstGeom prst="rect">
                        <a:avLst/>
                      </a:prstGeom>
                      <a:noFill/>
                      <a:ln>
                        <a:noFill/>
                      </a:ln>
                    </wps:spPr>
                    <wps:txbx>
                      <w:txbxContent>
                        <w:p w14:paraId="04D1DBB7">
                          <w:pPr>
                            <w:rPr>
                              <w:rFonts w:ascii="Arial" w:hAnsi="Arial" w:eastAsia="Arial" w:cs="Arial"/>
                              <w:color w:val="FF8F1F"/>
                              <w:sz w:val="20"/>
                              <w:szCs w:val="20"/>
                            </w:rPr>
                          </w:pPr>
                          <w:r>
                            <w:rPr>
                              <w:rFonts w:ascii="Arial" w:hAnsi="Arial" w:eastAsia="Arial" w:cs="Arial"/>
                              <w:color w:val="FF8F1F"/>
                              <w:sz w:val="20"/>
                              <w:szCs w:val="20"/>
                            </w:rPr>
                            <w:t>Internal</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 id="文本框 2" o:spid="_x0000_s1026" o:spt="202" alt="Internal" type="#_x0000_t202" style="position:absolute;left:0pt;height:26.5pt;width:53.4pt;mso-position-horizontal:left;mso-position-horizontal-relative:page;mso-position-vertical:top;mso-position-vertical-relative:page;mso-wrap-style:none;z-index:251660288;mso-width-relative:page;mso-height-relative:page;" filled="f" stroked="f" coordsize="21600,21600" o:gfxdata="UEsDBAoAAAAAAIdO4kAAAAAAAAAAAAAAAAAEAAAAZHJzL1BLAwQUAAAACACHTuJATx5BZtQAAAAE&#10;AQAADwAAAGRycy9kb3ducmV2LnhtbE2PT0vDQBDF74LfYRnBm92t2iJpNj0IgoJFrMVep9nJH8zO&#10;huykqd/erRe9PBje8N7v5euT79SRhtgGtjCfGVDEZXAt1xZ2H083D6CiIDvsApOFb4qwLi4vcsxc&#10;mPidjlupVQrhmKGFRqTPtI5lQx7jLPTEyavC4FHSOdTaDTilcN/pW2OW2mPLqaHBnh4bKr+2o7fw&#10;fB/3MlbVIm5eN5N5mfxufPu09vpqblaghE7y9wxn/IQORWI6hJFdVJ2FNER+9eyZZZpxsLC4M6CL&#10;XP+HL34AUEsDBBQAAAAIAIdO4kBIC2WXRQIAAG0EAAAOAAAAZHJzL2Uyb0RvYy54bWytVM1uEzEQ&#10;viPxDpbvdDdJE0qUTRVaBVWKaKWCODteb3Yl/8l2shseAN6AExfuPFeeg8/epIXCoQcuzvztNzPf&#10;zGR22SlJdsL5xuiCDs5ySoTmpmz0pqAfPyxfXVDiA9Mlk0aLgu6Fp5fzly9mrZ2KoamNLIUjANF+&#10;2tqC1iHYaZZ5XgvF/JmxQsNZGadYgOo2WelYC3Qls2GeT7LWuNI6w4X3sF73TnpEdM8BNFXVcHFt&#10;+FYJHXpUJyQLaMnXjfV0nqqtKsHDbVV5EYgsKDoN6UUSyOv4ZvMZm24cs3XDjyWw55TwpCfFGo2k&#10;D1DXLDCydc1fUKrhznhThTNuVNY3khhBF4P8CTf3NbMi9QKqvX0g3f8/WP5+d+dIUxZ0PBzk+flo&#10;MqJEM4XBH759PXz/efjxhQwpKYXnoO1GB+E0k5G31vopPr+3AAjdW9Nhm052D2Oko6ucir9olMAP&#10;1vcPrIsuEA7j5PXF4AIeDtdoNBmP01Syx4+t8+GdMIpEoaAOQ01cs93KBxSC0FNIzKXNspEyDVbq&#10;PwwIjJYsVt5XGKXQrbtjO2tT7tGNM/2eeMuXDXKumA93zGExUCZOJ9ziqaRpC2qOEiW1cZ//ZY/x&#10;mBe8lLRYtIJq3BUl8kZjjsPxeZ4DNSRt8CYfR80lDcL6JOitujLY4QGO0/IkxrggT2LljPqEy1rE&#10;bHAxzZGzoOEkXoV+7XGZXCwWKQg7aFlY6XvLI3Qky9vFNoDBRGykp+fkyBq2MPF9vJi45r/rKerx&#10;X2L+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8eQWbUAAAABAEAAA8AAAAAAAAAAQAgAAAAIgAA&#10;AGRycy9kb3ducmV2LnhtbFBLAQIUABQAAAAIAIdO4kBIC2WXRQIAAG0EAAAOAAAAAAAAAAEAIAAA&#10;ACMBAABkcnMvZTJvRG9jLnhtbFBLBQYAAAAABgAGAFkBAADaBQAAAAA=&#10;">
              <v:fill on="f" focussize="0,0"/>
              <v:stroke on="f"/>
              <v:imagedata o:title=""/>
              <o:lock v:ext="edit" aspectratio="f"/>
              <v:textbox inset="20pt,15pt,0mm,0mm" style="mso-fit-shape-to-text:t;">
                <w:txbxContent>
                  <w:p w14:paraId="04D1DBB7">
                    <w:pPr>
                      <w:rPr>
                        <w:rFonts w:ascii="Arial" w:hAnsi="Arial" w:eastAsia="Arial" w:cs="Arial"/>
                        <w:color w:val="FF8F1F"/>
                        <w:sz w:val="20"/>
                        <w:szCs w:val="20"/>
                      </w:rPr>
                    </w:pPr>
                    <w:r>
                      <w:rPr>
                        <w:rFonts w:ascii="Arial" w:hAnsi="Arial" w:eastAsia="Arial" w:cs="Arial"/>
                        <w:color w:val="FF8F1F"/>
                        <w:sz w:val="20"/>
                        <w:szCs w:val="20"/>
                      </w:rPr>
                      <w:t>Internal</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3CB8E">
    <w:pPr>
      <w:pStyle w:val="3"/>
    </w:pPr>
    <w: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top</wp:align>
              </wp:positionV>
              <wp:extent cx="678180" cy="336550"/>
              <wp:effectExtent l="0" t="0" r="7620" b="6350"/>
              <wp:wrapNone/>
              <wp:docPr id="1838620951" name="文本框 1" descr="Internal"/>
              <wp:cNvGraphicFramePr/>
              <a:graphic xmlns:a="http://schemas.openxmlformats.org/drawingml/2006/main">
                <a:graphicData uri="http://schemas.microsoft.com/office/word/2010/wordprocessingShape">
                  <wps:wsp>
                    <wps:cNvSpPr txBox="1"/>
                    <wps:spPr>
                      <a:xfrm>
                        <a:off x="0" y="0"/>
                        <a:ext cx="678180" cy="336550"/>
                      </a:xfrm>
                      <a:prstGeom prst="rect">
                        <a:avLst/>
                      </a:prstGeom>
                      <a:noFill/>
                      <a:ln>
                        <a:noFill/>
                      </a:ln>
                    </wps:spPr>
                    <wps:txbx>
                      <w:txbxContent>
                        <w:p w14:paraId="68ED2BEA">
                          <w:pPr>
                            <w:rPr>
                              <w:rFonts w:ascii="Arial" w:hAnsi="Arial" w:eastAsia="Arial" w:cs="Arial"/>
                              <w:color w:val="FF8F1F"/>
                              <w:sz w:val="20"/>
                              <w:szCs w:val="20"/>
                            </w:rPr>
                          </w:pPr>
                          <w:r>
                            <w:rPr>
                              <w:rFonts w:ascii="Arial" w:hAnsi="Arial" w:eastAsia="Arial" w:cs="Arial"/>
                              <w:color w:val="FF8F1F"/>
                              <w:sz w:val="20"/>
                              <w:szCs w:val="20"/>
                            </w:rPr>
                            <w:t>Internal</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 id="文本框 1" o:spid="_x0000_s1026" o:spt="202" alt="Internal" type="#_x0000_t202" style="position:absolute;left:0pt;height:26.5pt;width:53.4pt;mso-position-horizontal:left;mso-position-horizontal-relative:page;mso-position-vertical:top;mso-position-vertical-relative:page;mso-wrap-style:none;z-index:251659264;mso-width-relative:page;mso-height-relative:page;" filled="f" stroked="f" coordsize="21600,21600" o:gfxdata="UEsDBAoAAAAAAIdO4kAAAAAAAAAAAAAAAAAEAAAAZHJzL1BLAwQUAAAACACHTuJATx5BZtQAAAAE&#10;AQAADwAAAGRycy9kb3ducmV2LnhtbE2PT0vDQBDF74LfYRnBm92t2iJpNj0IgoJFrMVep9nJH8zO&#10;huykqd/erRe9PBje8N7v5euT79SRhtgGtjCfGVDEZXAt1xZ2H083D6CiIDvsApOFb4qwLi4vcsxc&#10;mPidjlupVQrhmKGFRqTPtI5lQx7jLPTEyavC4FHSOdTaDTilcN/pW2OW2mPLqaHBnh4bKr+2o7fw&#10;fB/3MlbVIm5eN5N5mfxufPu09vpqblaghE7y9wxn/IQORWI6hJFdVJ2FNER+9eyZZZpxsLC4M6CL&#10;XP+HL34AUEsDBBQAAAAIAIdO4kDA8JX1RAIAAG4EAAAOAAAAZHJzL2Uyb0RvYy54bWytVM1uEzEQ&#10;viPxDpbvdDcpCWmUTRUaBVWqaKWCODteb3Yl/8l2shseAN6AExfuPFeeg8/epIXCoQcuzvztNzPf&#10;zGR22SlJdsL5xuiCDs5ySoTmpmz0pqAfP6xeTSjxgemSSaNFQffC08v5yxez1k7F0NRGlsIRgGg/&#10;bW1B6xDsNMs8r4Vi/sxYoeGsjFMsQHWbrHSsBbqS2TDPx1lrXGmd4cJ7WJe9kx4R3XMATVU1XCwN&#10;3yqhQ4/qhGQBLfm6sZ7OU7VVJXi4rSovApEFRachvUgCeR3fbD5j041jtm74sQT2nBKe9KRYo5H0&#10;AWrJAiNb1/wFpRrujDdVOONGZX0jiRF0McifcHNfMytSL6Da2wfS/f+D5e93d440JTZhcj4ZD/OL&#10;0YASzRQmf/j29fD95+HHFwJTKTwHb9c6CKeZjMS11k/x/b0FQujemg4gJ7uHMfLRVU7FX3RK4Aft&#10;+wfaRRcIh3H8ZjKYwMPhOj8fj0ZpLNnjx9b58E4YRaJQUIepJrLZ7sYHFILQU0jMpc2qkTJNVuo/&#10;DAiMlixW3lcYpdCtu2M7a1Pu0Y0z/aJ4y1cNct4wH+6Yw2agTNxOuMVTSdMW1BwlSmrjPv/LHuMx&#10;MHgpabFpBdU4LErktcYgh6PXeQ7UkLTBRT6KmksahPVJ0Ft1ZbDEGAWqSmKMC/IkVs6oTzitRcwG&#10;F9McOQsaTuJV6Pcep8nFYpGCsISWhRt9b3mEjmR5u9gGMJiIjfT0nBxZwxomvo8nE/f8dz1FPf5N&#10;zH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x5BZtQAAAAEAQAADwAAAAAAAAABACAAAAAiAAAA&#10;ZHJzL2Rvd25yZXYueG1sUEsBAhQAFAAAAAgAh07iQMDwlfVEAgAAbgQAAA4AAAAAAAAAAQAgAAAA&#10;IwEAAGRycy9lMm9Eb2MueG1sUEsFBgAAAAAGAAYAWQEAANkFAAAAAA==&#10;">
              <v:fill on="f" focussize="0,0"/>
              <v:stroke on="f"/>
              <v:imagedata o:title=""/>
              <o:lock v:ext="edit" aspectratio="f"/>
              <v:textbox inset="20pt,15pt,0mm,0mm" style="mso-fit-shape-to-text:t;">
                <w:txbxContent>
                  <w:p w14:paraId="68ED2BEA">
                    <w:pPr>
                      <w:rPr>
                        <w:rFonts w:ascii="Arial" w:hAnsi="Arial" w:eastAsia="Arial" w:cs="Arial"/>
                        <w:color w:val="FF8F1F"/>
                        <w:sz w:val="20"/>
                        <w:szCs w:val="20"/>
                      </w:rPr>
                    </w:pPr>
                    <w:r>
                      <w:rPr>
                        <w:rFonts w:ascii="Arial" w:hAnsi="Arial" w:eastAsia="Arial" w:cs="Arial"/>
                        <w:color w:val="FF8F1F"/>
                        <w:sz w:val="20"/>
                        <w:szCs w:val="20"/>
                      </w:rPr>
                      <w:t>Internal</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5A978F"/>
    <w:multiLevelType w:val="singleLevel"/>
    <w:tmpl w:val="FE5A978F"/>
    <w:lvl w:ilvl="0" w:tentative="0">
      <w:start w:val="1"/>
      <w:numFmt w:val="decimal"/>
      <w:lvlText w:val="%1."/>
      <w:lvlJc w:val="left"/>
      <w:pPr>
        <w:ind w:left="425" w:hanging="425"/>
      </w:pPr>
      <w:rPr>
        <w:rFonts w:hint="default"/>
        <w:b w:val="0"/>
        <w:bCs w:val="0"/>
        <w:color w:val="auto"/>
      </w:rPr>
    </w:lvl>
  </w:abstractNum>
  <w:abstractNum w:abstractNumId="1">
    <w:nsid w:val="12E350EF"/>
    <w:multiLevelType w:val="multilevel"/>
    <w:tmpl w:val="12E350E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EF0763F"/>
    <w:multiLevelType w:val="singleLevel"/>
    <w:tmpl w:val="1EF0763F"/>
    <w:lvl w:ilvl="0" w:tentative="0">
      <w:start w:val="2"/>
      <w:numFmt w:val="chineseCounting"/>
      <w:suff w:val="nothing"/>
      <w:lvlText w:val="%1、"/>
      <w:lvlJc w:val="left"/>
      <w:rPr>
        <w:rFonts w:hint="eastAsia"/>
      </w:rPr>
    </w:lvl>
  </w:abstractNum>
  <w:abstractNum w:abstractNumId="3">
    <w:nsid w:val="2D4F6A93"/>
    <w:multiLevelType w:val="multilevel"/>
    <w:tmpl w:val="2D4F6A93"/>
    <w:lvl w:ilvl="0" w:tentative="0">
      <w:start w:val="1"/>
      <w:numFmt w:val="decimal"/>
      <w:lvlText w:val="%1."/>
      <w:lvlJc w:val="left"/>
      <w:pPr>
        <w:ind w:left="420" w:hanging="420"/>
      </w:pPr>
      <w:rPr>
        <w:rFonts w:hint="default"/>
        <w:b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2C7D0DC"/>
    <w:multiLevelType w:val="singleLevel"/>
    <w:tmpl w:val="62C7D0DC"/>
    <w:lvl w:ilvl="0" w:tentative="0">
      <w:start w:val="1"/>
      <w:numFmt w:val="decimal"/>
      <w:lvlText w:val="%1)"/>
      <w:lvlJc w:val="left"/>
      <w:pPr>
        <w:ind w:left="425" w:hanging="425"/>
      </w:pPr>
      <w:rPr>
        <w:rFont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AA4"/>
    <w:rsid w:val="00016295"/>
    <w:rsid w:val="00042468"/>
    <w:rsid w:val="000A2347"/>
    <w:rsid w:val="000A297F"/>
    <w:rsid w:val="001100DB"/>
    <w:rsid w:val="00115869"/>
    <w:rsid w:val="001C397F"/>
    <w:rsid w:val="00242903"/>
    <w:rsid w:val="0040021D"/>
    <w:rsid w:val="005B411E"/>
    <w:rsid w:val="006B7644"/>
    <w:rsid w:val="006E53CE"/>
    <w:rsid w:val="00704EC0"/>
    <w:rsid w:val="00715CBA"/>
    <w:rsid w:val="00720C0E"/>
    <w:rsid w:val="00822158"/>
    <w:rsid w:val="008A4D31"/>
    <w:rsid w:val="00901301"/>
    <w:rsid w:val="00A15418"/>
    <w:rsid w:val="00A62001"/>
    <w:rsid w:val="00B13BEF"/>
    <w:rsid w:val="00BE164A"/>
    <w:rsid w:val="00BE55D9"/>
    <w:rsid w:val="00C607B0"/>
    <w:rsid w:val="00C767E9"/>
    <w:rsid w:val="00CD3A73"/>
    <w:rsid w:val="00D132B5"/>
    <w:rsid w:val="00E7018D"/>
    <w:rsid w:val="00EF4AA4"/>
    <w:rsid w:val="00F04381"/>
    <w:rsid w:val="00FA2D23"/>
    <w:rsid w:val="038B3DDC"/>
    <w:rsid w:val="03FD3051"/>
    <w:rsid w:val="044C50BA"/>
    <w:rsid w:val="04E927E6"/>
    <w:rsid w:val="0554685E"/>
    <w:rsid w:val="0A303648"/>
    <w:rsid w:val="0EA53D44"/>
    <w:rsid w:val="191C3027"/>
    <w:rsid w:val="1C0C1E24"/>
    <w:rsid w:val="248971F3"/>
    <w:rsid w:val="25407ECB"/>
    <w:rsid w:val="25CC03B4"/>
    <w:rsid w:val="260750B7"/>
    <w:rsid w:val="298E5083"/>
    <w:rsid w:val="2A3F4E5B"/>
    <w:rsid w:val="2B400C25"/>
    <w:rsid w:val="2C711DF0"/>
    <w:rsid w:val="2F340448"/>
    <w:rsid w:val="2FB0545C"/>
    <w:rsid w:val="31A2695B"/>
    <w:rsid w:val="31E3748D"/>
    <w:rsid w:val="32210B93"/>
    <w:rsid w:val="33A6194A"/>
    <w:rsid w:val="33AE44E2"/>
    <w:rsid w:val="33D769DD"/>
    <w:rsid w:val="35AB4B80"/>
    <w:rsid w:val="36463673"/>
    <w:rsid w:val="3A571AE7"/>
    <w:rsid w:val="40563519"/>
    <w:rsid w:val="40CA3AB9"/>
    <w:rsid w:val="44875349"/>
    <w:rsid w:val="47941C85"/>
    <w:rsid w:val="48097742"/>
    <w:rsid w:val="49B17E7B"/>
    <w:rsid w:val="4CBD1C7E"/>
    <w:rsid w:val="4DD616D9"/>
    <w:rsid w:val="4FC04886"/>
    <w:rsid w:val="50C11611"/>
    <w:rsid w:val="5B81656C"/>
    <w:rsid w:val="5D8E1CF4"/>
    <w:rsid w:val="600324A1"/>
    <w:rsid w:val="613D263E"/>
    <w:rsid w:val="62A04CCC"/>
    <w:rsid w:val="64A123A9"/>
    <w:rsid w:val="6AA9740B"/>
    <w:rsid w:val="719E6F42"/>
    <w:rsid w:val="7BCA3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link w:val="7"/>
    <w:qFormat/>
    <w:uiPriority w:val="34"/>
    <w:pPr>
      <w:ind w:firstLine="420" w:firstLineChars="200"/>
    </w:pPr>
  </w:style>
  <w:style w:type="character" w:customStyle="1" w:styleId="7">
    <w:name w:val="列表段落 字符"/>
    <w:link w:val="6"/>
    <w:qFormat/>
    <w:uiPriority w:val="34"/>
    <w:rPr>
      <w:rFonts w:ascii="Times New Roman" w:hAnsi="Times New Roman" w:eastAsia="宋体" w:cs="Times New Roman"/>
      <w:szCs w:val="24"/>
    </w:rPr>
  </w:style>
  <w:style w:type="paragraph" w:customStyle="1" w:styleId="8">
    <w:name w:val="列表段落1"/>
    <w:basedOn w:val="1"/>
    <w:qFormat/>
    <w:uiPriority w:val="34"/>
    <w:pPr>
      <w:ind w:firstLine="420" w:firstLineChars="200"/>
    </w:pPr>
    <w:rPr>
      <w:szCs w:val="20"/>
    </w:rPr>
  </w:style>
  <w:style w:type="character" w:customStyle="1" w:styleId="9">
    <w:name w:val="页眉 字符"/>
    <w:basedOn w:val="5"/>
    <w:link w:val="3"/>
    <w:qFormat/>
    <w:uiPriority w:val="99"/>
    <w:rPr>
      <w:rFonts w:ascii="Times New Roman" w:hAnsi="Times New Roman" w:eastAsia="宋体" w:cs="Times New Roman"/>
      <w:sz w:val="18"/>
      <w:szCs w:val="18"/>
    </w:rPr>
  </w:style>
  <w:style w:type="character" w:customStyle="1" w:styleId="10">
    <w:name w:val="页脚 字符"/>
    <w:basedOn w:val="5"/>
    <w:link w:val="2"/>
    <w:qFormat/>
    <w:uiPriority w:val="99"/>
    <w:rPr>
      <w:rFonts w:ascii="Times New Roman" w:hAnsi="Times New Roman" w:eastAsia="宋体" w:cs="Times New Roman"/>
      <w:sz w:val="18"/>
      <w:szCs w:val="18"/>
    </w:rPr>
  </w:style>
  <w:style w:type="paragraph" w:customStyle="1" w:styleId="11">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Draeger</Company>
  <Pages>3</Pages>
  <Words>1787</Words>
  <Characters>1988</Characters>
  <Lines>26</Lines>
  <Paragraphs>7</Paragraphs>
  <TotalTime>0</TotalTime>
  <ScaleCrop>false</ScaleCrop>
  <LinksUpToDate>false</LinksUpToDate>
  <CharactersWithSpaces>2544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2026-04-18T01:52:00Z</dcterms:created>
  <dc:creator>卢奕宏 Lu Yihong</dc:creator>
  <cp:lastModifiedBy>全穗海</cp:lastModifiedBy>
  <dcterms:modified xsi:type="dcterms:W3CDTF">2026-04-23T08:09:32Z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eyJoZGlkIjoiODM2OGZkMGY4YjBmZWZiMDU2YjI4YmE3M2E3MDc1NjAiLCJ1c2VySWQiOiIxNjU3NTM5NjY4In0=</vt:lpwstr>
  </property>
  <property fmtid="{D5CDD505-2E9C-101B-9397-08002B2CF9AE}" pid="3" name="KSOProductBuildVer">
    <vt:lpwstr>2052-12.1.0.25865</vt:lpwstr>
  </property>
  <property fmtid="{D5CDD505-2E9C-101B-9397-08002B2CF9AE}" pid="4" name="ICV">
    <vt:lpwstr>F16230AACE2F4BEF8257522CCA7A706D_13</vt:lpwstr>
  </property>
  <property fmtid="{D5CDD505-2E9C-101B-9397-08002B2CF9AE}" pid="5" name="ClassificationContentMarkingHeaderShapeIds">
    <vt:lpwstr>6d972117,1f0de54b,405eff6e</vt:lpwstr>
  </property>
  <property fmtid="{D5CDD505-2E9C-101B-9397-08002B2CF9AE}" pid="6" name="ClassificationContentMarkingHeaderFontProps">
    <vt:lpwstr>#ff8f1f,10,Arial</vt:lpwstr>
  </property>
  <property fmtid="{D5CDD505-2E9C-101B-9397-08002B2CF9AE}" pid="7" name="ClassificationContentMarkingHeaderText">
    <vt:lpwstr>Internal</vt:lpwstr>
  </property>
</Properties>
</file>