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0F0" w:rsidRPr="00D500F0" w:rsidRDefault="00D500F0" w:rsidP="00D500F0">
      <w:pPr>
        <w:pStyle w:val="ad"/>
        <w:spacing w:line="600" w:lineRule="auto"/>
        <w:ind w:firstLine="883"/>
        <w:rPr>
          <w:rFonts w:ascii="仿宋" w:eastAsia="仿宋" w:hAnsi="仿宋"/>
          <w:sz w:val="44"/>
        </w:rPr>
      </w:pPr>
      <w:r w:rsidRPr="00D500F0">
        <w:rPr>
          <w:rFonts w:ascii="仿宋" w:eastAsia="仿宋" w:hAnsi="仿宋" w:hint="eastAsia"/>
          <w:sz w:val="44"/>
        </w:rPr>
        <w:t>精准高性能硬件平台六期存储扩容项目</w:t>
      </w:r>
    </w:p>
    <w:p w:rsidR="0050126E" w:rsidRDefault="0010115F" w:rsidP="008D693E">
      <w:pPr>
        <w:pStyle w:val="ad"/>
        <w:spacing w:line="600" w:lineRule="auto"/>
        <w:ind w:firstLine="883"/>
        <w:rPr>
          <w:rFonts w:asciiTheme="minorEastAsia" w:eastAsiaTheme="minorEastAsia" w:hAnsiTheme="minorEastAsia"/>
          <w:b w:val="0"/>
          <w:color w:val="000000"/>
          <w:sz w:val="40"/>
          <w:szCs w:val="22"/>
        </w:rPr>
      </w:pPr>
      <w:r w:rsidRPr="00305B79">
        <w:rPr>
          <w:rFonts w:ascii="仿宋" w:eastAsia="仿宋" w:hAnsi="仿宋"/>
          <w:sz w:val="44"/>
        </w:rPr>
        <w:t>用户需求</w:t>
      </w:r>
    </w:p>
    <w:p w:rsidR="008E3800" w:rsidRDefault="0010115F" w:rsidP="008E3800">
      <w:pPr>
        <w:pStyle w:val="HPC1"/>
      </w:pPr>
      <w:r>
        <w:t>需求</w:t>
      </w:r>
      <w:r w:rsidR="008E3800">
        <w:rPr>
          <w:rFonts w:hint="eastAsia"/>
        </w:rPr>
        <w:t>与目标</w:t>
      </w:r>
    </w:p>
    <w:p w:rsidR="00E70D8B" w:rsidRDefault="00E70D8B" w:rsidP="00E70D8B">
      <w:pPr>
        <w:ind w:firstLineChars="0" w:firstLine="480"/>
      </w:pPr>
      <w:bookmarkStart w:id="0" w:name="_Toc488416991"/>
      <w:bookmarkStart w:id="1" w:name="_Toc441014298"/>
      <w:r>
        <w:rPr>
          <w:rFonts w:hint="eastAsia"/>
        </w:rPr>
        <w:t>精准医学研究院高性能硬件平台为我院精准医学研究提供专业且全面的科学计算服务。</w:t>
      </w:r>
    </w:p>
    <w:p w:rsidR="00E70D8B" w:rsidRDefault="00E70D8B" w:rsidP="00E70D8B">
      <w:pPr>
        <w:ind w:firstLineChars="0" w:firstLine="480"/>
      </w:pPr>
      <w:r>
        <w:rPr>
          <w:rFonts w:hint="eastAsia"/>
        </w:rPr>
        <w:t>平台资源由</w:t>
      </w:r>
      <w:proofErr w:type="spellStart"/>
      <w:r>
        <w:t>EaaS</w:t>
      </w:r>
      <w:proofErr w:type="spellEnd"/>
      <w:r>
        <w:t>高性能计算云平台统一管理、统一调度。</w:t>
      </w:r>
    </w:p>
    <w:p w:rsidR="0010115F" w:rsidRDefault="00E70D8B" w:rsidP="00E70D8B">
      <w:pPr>
        <w:ind w:firstLineChars="0" w:firstLine="480"/>
      </w:pPr>
      <w:r>
        <w:rPr>
          <w:rFonts w:hint="eastAsia"/>
        </w:rPr>
        <w:t>随着医院在生物信息分析、人工智能（</w:t>
      </w:r>
      <w:r>
        <w:t>AI）科研项目方面业务量的持续攀升，拟对存储进行扩容建设。</w:t>
      </w:r>
      <w:bookmarkEnd w:id="0"/>
      <w:bookmarkEnd w:id="1"/>
    </w:p>
    <w:p w:rsidR="00E70D8B" w:rsidRDefault="00E70D8B" w:rsidP="00E72997">
      <w:pPr>
        <w:ind w:firstLineChars="0" w:firstLine="480"/>
      </w:pPr>
      <w:bookmarkStart w:id="2" w:name="_Toc488416992"/>
      <w:bookmarkStart w:id="3" w:name="_Toc441014299"/>
      <w:r>
        <w:rPr>
          <w:rFonts w:hint="eastAsia"/>
        </w:rPr>
        <w:t>本项目要求</w:t>
      </w:r>
      <w:r w:rsidR="0010115F">
        <w:t>集成服务商需在建设周期内安装部署调测，满足业务发展的需要</w:t>
      </w:r>
      <w:r>
        <w:rPr>
          <w:rFonts w:hint="eastAsia"/>
        </w:rPr>
        <w:t>。</w:t>
      </w:r>
    </w:p>
    <w:p w:rsidR="0010115F" w:rsidRDefault="0010115F" w:rsidP="00E72997">
      <w:pPr>
        <w:ind w:firstLineChars="0" w:firstLine="480"/>
      </w:pPr>
      <w:r>
        <w:t>总体目标如下：</w:t>
      </w:r>
    </w:p>
    <w:p w:rsidR="0010115F" w:rsidRDefault="0010115F" w:rsidP="00E72997">
      <w:pPr>
        <w:pStyle w:val="aa"/>
        <w:numPr>
          <w:ilvl w:val="0"/>
          <w:numId w:val="12"/>
        </w:numPr>
        <w:ind w:firstLineChars="0"/>
      </w:pPr>
      <w:r>
        <w:t>结合中心发展要求，系统集成商提交一份完整的设计实施方案；</w:t>
      </w:r>
    </w:p>
    <w:p w:rsidR="0010115F" w:rsidRDefault="0010115F" w:rsidP="00E72997">
      <w:pPr>
        <w:pStyle w:val="aa"/>
        <w:numPr>
          <w:ilvl w:val="0"/>
          <w:numId w:val="12"/>
        </w:numPr>
        <w:ind w:firstLineChars="0"/>
      </w:pPr>
      <w:r>
        <w:t>集成商组织项目建设的各方，完成硬件采购、部署、运行以及交付等一系列工作；</w:t>
      </w:r>
    </w:p>
    <w:p w:rsidR="0010115F" w:rsidRDefault="0010115F" w:rsidP="00E72997">
      <w:pPr>
        <w:pStyle w:val="aa"/>
        <w:numPr>
          <w:ilvl w:val="0"/>
          <w:numId w:val="12"/>
        </w:numPr>
        <w:ind w:firstLineChars="0"/>
      </w:pPr>
      <w:r>
        <w:t>通过本平台的项目实施，协助</w:t>
      </w:r>
      <w:r>
        <w:rPr>
          <w:rFonts w:hint="eastAsia"/>
        </w:rPr>
        <w:t>平台实现</w:t>
      </w:r>
      <w:r>
        <w:t>高效高质实施与运维。</w:t>
      </w:r>
    </w:p>
    <w:p w:rsidR="0010115F" w:rsidRDefault="00E70D8B" w:rsidP="008E3800">
      <w:pPr>
        <w:pStyle w:val="HPC1"/>
      </w:pPr>
      <w:r>
        <w:t>需求</w:t>
      </w:r>
    </w:p>
    <w:p w:rsidR="00C63C28" w:rsidRDefault="00B91DDA" w:rsidP="00C63C28">
      <w:pPr>
        <w:ind w:firstLine="480"/>
      </w:pPr>
      <w:r w:rsidRPr="00B91DDA">
        <w:rPr>
          <w:rFonts w:hint="eastAsia"/>
        </w:rPr>
        <w:t>本项目采购清单一览表如下</w:t>
      </w:r>
      <w:r w:rsidRPr="00B91DDA">
        <w:t>：</w:t>
      </w:r>
    </w:p>
    <w:tbl>
      <w:tblPr>
        <w:tblW w:w="4293" w:type="pct"/>
        <w:jc w:val="center"/>
        <w:tblLook w:val="0000" w:firstRow="0" w:lastRow="0" w:firstColumn="0" w:lastColumn="0" w:noHBand="0" w:noVBand="0"/>
      </w:tblPr>
      <w:tblGrid>
        <w:gridCol w:w="1519"/>
        <w:gridCol w:w="4036"/>
        <w:gridCol w:w="2804"/>
      </w:tblGrid>
      <w:tr w:rsidR="00E70D8B" w:rsidTr="00E70D8B">
        <w:trPr>
          <w:trHeight w:val="170"/>
          <w:tblHeader/>
          <w:jc w:val="center"/>
        </w:trPr>
        <w:tc>
          <w:tcPr>
            <w:tcW w:w="909" w:type="pct"/>
            <w:tcBorders>
              <w:top w:val="single" w:sz="4" w:space="0" w:color="auto"/>
              <w:left w:val="single" w:sz="4" w:space="0" w:color="auto"/>
              <w:bottom w:val="single" w:sz="4" w:space="0" w:color="auto"/>
              <w:right w:val="single" w:sz="4" w:space="0" w:color="auto"/>
            </w:tcBorders>
            <w:shd w:val="clear" w:color="auto" w:fill="DCE6F1"/>
            <w:vAlign w:val="center"/>
          </w:tcPr>
          <w:p w:rsidR="00E70D8B" w:rsidRDefault="00E70D8B" w:rsidP="00E72997">
            <w:pPr>
              <w:widowControl/>
              <w:adjustRightInd w:val="0"/>
              <w:snapToGrid w:val="0"/>
              <w:spacing w:before="0" w:after="0" w:line="240" w:lineRule="auto"/>
              <w:ind w:firstLineChars="0" w:firstLine="0"/>
              <w:jc w:val="center"/>
              <w:rPr>
                <w:rFonts w:cs="宋体"/>
                <w:b/>
                <w:bCs/>
                <w:kern w:val="0"/>
                <w:szCs w:val="26"/>
              </w:rPr>
            </w:pPr>
            <w:r>
              <w:rPr>
                <w:rFonts w:cs="宋体" w:hint="eastAsia"/>
                <w:b/>
                <w:bCs/>
                <w:kern w:val="0"/>
                <w:szCs w:val="26"/>
                <w:lang w:bidi="ar"/>
              </w:rPr>
              <w:t>序号</w:t>
            </w:r>
          </w:p>
        </w:tc>
        <w:tc>
          <w:tcPr>
            <w:tcW w:w="2414" w:type="pct"/>
            <w:tcBorders>
              <w:top w:val="single" w:sz="4" w:space="0" w:color="auto"/>
              <w:left w:val="nil"/>
              <w:bottom w:val="single" w:sz="4" w:space="0" w:color="auto"/>
              <w:right w:val="single" w:sz="4" w:space="0" w:color="auto"/>
            </w:tcBorders>
            <w:shd w:val="clear" w:color="auto" w:fill="DCE6F1"/>
            <w:vAlign w:val="center"/>
          </w:tcPr>
          <w:p w:rsidR="00E70D8B" w:rsidRDefault="00E70D8B" w:rsidP="00E72997">
            <w:pPr>
              <w:widowControl/>
              <w:adjustRightInd w:val="0"/>
              <w:snapToGrid w:val="0"/>
              <w:spacing w:before="0" w:after="0" w:line="240" w:lineRule="auto"/>
              <w:ind w:firstLineChars="0" w:firstLine="0"/>
              <w:jc w:val="center"/>
              <w:rPr>
                <w:rFonts w:cs="宋体"/>
                <w:b/>
                <w:bCs/>
                <w:kern w:val="0"/>
                <w:szCs w:val="26"/>
              </w:rPr>
            </w:pPr>
            <w:r>
              <w:rPr>
                <w:rFonts w:cs="宋体" w:hint="eastAsia"/>
                <w:b/>
                <w:bCs/>
                <w:kern w:val="0"/>
                <w:szCs w:val="26"/>
                <w:lang w:bidi="ar"/>
              </w:rPr>
              <w:t>类别</w:t>
            </w:r>
          </w:p>
        </w:tc>
        <w:tc>
          <w:tcPr>
            <w:tcW w:w="1677" w:type="pct"/>
            <w:tcBorders>
              <w:top w:val="single" w:sz="4" w:space="0" w:color="auto"/>
              <w:left w:val="nil"/>
              <w:bottom w:val="single" w:sz="4" w:space="0" w:color="auto"/>
              <w:right w:val="single" w:sz="4" w:space="0" w:color="auto"/>
            </w:tcBorders>
            <w:shd w:val="clear" w:color="auto" w:fill="DCE6F1"/>
            <w:vAlign w:val="center"/>
          </w:tcPr>
          <w:p w:rsidR="00E70D8B" w:rsidRDefault="00E70D8B" w:rsidP="00E72997">
            <w:pPr>
              <w:widowControl/>
              <w:adjustRightInd w:val="0"/>
              <w:snapToGrid w:val="0"/>
              <w:spacing w:before="0" w:after="0" w:line="240" w:lineRule="auto"/>
              <w:ind w:firstLineChars="0" w:firstLine="0"/>
              <w:jc w:val="center"/>
              <w:rPr>
                <w:rFonts w:cs="宋体"/>
                <w:b/>
                <w:bCs/>
                <w:kern w:val="0"/>
                <w:szCs w:val="26"/>
              </w:rPr>
            </w:pPr>
            <w:r>
              <w:rPr>
                <w:rFonts w:cs="宋体" w:hint="eastAsia"/>
                <w:b/>
                <w:bCs/>
                <w:kern w:val="0"/>
                <w:szCs w:val="26"/>
              </w:rPr>
              <w:t>需求</w:t>
            </w:r>
          </w:p>
        </w:tc>
      </w:tr>
      <w:tr w:rsidR="00E70D8B" w:rsidTr="00E70D8B">
        <w:trPr>
          <w:trHeight w:val="170"/>
          <w:jc w:val="center"/>
        </w:trPr>
        <w:tc>
          <w:tcPr>
            <w:tcW w:w="909" w:type="pct"/>
            <w:tcBorders>
              <w:top w:val="nil"/>
              <w:left w:val="single" w:sz="4" w:space="0" w:color="auto"/>
              <w:bottom w:val="single" w:sz="4" w:space="0" w:color="auto"/>
              <w:right w:val="single" w:sz="4" w:space="0" w:color="auto"/>
            </w:tcBorders>
            <w:vAlign w:val="center"/>
          </w:tcPr>
          <w:p w:rsidR="00E70D8B" w:rsidRDefault="00E70D8B" w:rsidP="00E72997">
            <w:pPr>
              <w:widowControl/>
              <w:adjustRightInd w:val="0"/>
              <w:snapToGrid w:val="0"/>
              <w:spacing w:before="0" w:after="0" w:line="240" w:lineRule="auto"/>
              <w:ind w:firstLineChars="0" w:firstLine="0"/>
              <w:jc w:val="center"/>
              <w:rPr>
                <w:rFonts w:cs="宋体"/>
                <w:kern w:val="0"/>
                <w:szCs w:val="26"/>
              </w:rPr>
            </w:pPr>
            <w:r>
              <w:rPr>
                <w:rFonts w:cs="宋体" w:hint="eastAsia"/>
                <w:kern w:val="0"/>
                <w:szCs w:val="26"/>
                <w:lang w:bidi="ar"/>
              </w:rPr>
              <w:t>1</w:t>
            </w:r>
          </w:p>
        </w:tc>
        <w:tc>
          <w:tcPr>
            <w:tcW w:w="2414" w:type="pct"/>
            <w:tcBorders>
              <w:top w:val="nil"/>
              <w:left w:val="nil"/>
              <w:bottom w:val="single" w:sz="4" w:space="0" w:color="auto"/>
              <w:right w:val="single" w:sz="4" w:space="0" w:color="auto"/>
            </w:tcBorders>
            <w:vAlign w:val="center"/>
          </w:tcPr>
          <w:p w:rsidR="00E70D8B" w:rsidRDefault="00E70D8B" w:rsidP="00E72997">
            <w:pPr>
              <w:widowControl/>
              <w:adjustRightInd w:val="0"/>
              <w:snapToGrid w:val="0"/>
              <w:spacing w:before="0" w:after="0" w:line="240" w:lineRule="auto"/>
              <w:ind w:firstLineChars="0" w:firstLine="0"/>
              <w:jc w:val="center"/>
              <w:rPr>
                <w:rFonts w:cs="宋体"/>
                <w:kern w:val="0"/>
                <w:szCs w:val="26"/>
              </w:rPr>
            </w:pPr>
            <w:r>
              <w:rPr>
                <w:rFonts w:cs="宋体" w:hint="eastAsia"/>
                <w:kern w:val="0"/>
                <w:szCs w:val="26"/>
              </w:rPr>
              <w:t>分布式存储</w:t>
            </w:r>
          </w:p>
        </w:tc>
        <w:tc>
          <w:tcPr>
            <w:tcW w:w="1677" w:type="pct"/>
            <w:tcBorders>
              <w:top w:val="nil"/>
              <w:left w:val="nil"/>
              <w:bottom w:val="single" w:sz="4" w:space="0" w:color="auto"/>
              <w:right w:val="single" w:sz="4" w:space="0" w:color="auto"/>
            </w:tcBorders>
            <w:vAlign w:val="center"/>
          </w:tcPr>
          <w:p w:rsidR="00E70D8B" w:rsidRDefault="00E70D8B" w:rsidP="00E72997">
            <w:pPr>
              <w:widowControl/>
              <w:adjustRightInd w:val="0"/>
              <w:snapToGrid w:val="0"/>
              <w:spacing w:before="0" w:after="0" w:line="240" w:lineRule="auto"/>
              <w:ind w:firstLineChars="0" w:firstLine="0"/>
              <w:jc w:val="center"/>
              <w:rPr>
                <w:rFonts w:cs="宋体"/>
                <w:kern w:val="0"/>
                <w:szCs w:val="26"/>
              </w:rPr>
            </w:pPr>
            <w:r>
              <w:rPr>
                <w:rFonts w:cs="宋体" w:hint="eastAsia"/>
                <w:kern w:val="0"/>
                <w:szCs w:val="26"/>
                <w:lang w:bidi="ar"/>
              </w:rPr>
              <w:t>最终可用&gt;</w:t>
            </w:r>
            <w:r>
              <w:rPr>
                <w:rFonts w:cs="宋体"/>
                <w:kern w:val="0"/>
                <w:szCs w:val="26"/>
                <w:lang w:bidi="ar"/>
              </w:rPr>
              <w:t>=3.4PB</w:t>
            </w:r>
          </w:p>
        </w:tc>
      </w:tr>
      <w:tr w:rsidR="00E70D8B" w:rsidTr="00E70D8B">
        <w:trPr>
          <w:trHeight w:val="170"/>
          <w:jc w:val="center"/>
        </w:trPr>
        <w:tc>
          <w:tcPr>
            <w:tcW w:w="909" w:type="pct"/>
            <w:tcBorders>
              <w:top w:val="nil"/>
              <w:left w:val="single" w:sz="4" w:space="0" w:color="auto"/>
              <w:bottom w:val="single" w:sz="4" w:space="0" w:color="auto"/>
              <w:right w:val="single" w:sz="4" w:space="0" w:color="auto"/>
            </w:tcBorders>
            <w:vAlign w:val="center"/>
          </w:tcPr>
          <w:p w:rsidR="00E70D8B" w:rsidRDefault="00E70D8B" w:rsidP="00E72997">
            <w:pPr>
              <w:widowControl/>
              <w:adjustRightInd w:val="0"/>
              <w:snapToGrid w:val="0"/>
              <w:spacing w:before="0" w:after="0" w:line="240" w:lineRule="auto"/>
              <w:ind w:firstLineChars="0" w:firstLine="0"/>
              <w:jc w:val="center"/>
              <w:rPr>
                <w:rFonts w:cs="宋体"/>
                <w:kern w:val="0"/>
                <w:szCs w:val="26"/>
              </w:rPr>
            </w:pPr>
            <w:r>
              <w:rPr>
                <w:rFonts w:cs="宋体"/>
                <w:kern w:val="0"/>
                <w:szCs w:val="26"/>
                <w:lang w:bidi="ar"/>
              </w:rPr>
              <w:t>2</w:t>
            </w:r>
          </w:p>
        </w:tc>
        <w:tc>
          <w:tcPr>
            <w:tcW w:w="2414" w:type="pct"/>
            <w:tcBorders>
              <w:top w:val="nil"/>
              <w:left w:val="nil"/>
              <w:bottom w:val="single" w:sz="4" w:space="0" w:color="auto"/>
              <w:right w:val="single" w:sz="4" w:space="0" w:color="auto"/>
            </w:tcBorders>
            <w:vAlign w:val="center"/>
          </w:tcPr>
          <w:p w:rsidR="00E70D8B" w:rsidRDefault="00E70D8B" w:rsidP="00E72997">
            <w:pPr>
              <w:widowControl/>
              <w:adjustRightInd w:val="0"/>
              <w:snapToGrid w:val="0"/>
              <w:spacing w:before="0" w:after="0" w:line="240" w:lineRule="auto"/>
              <w:ind w:firstLineChars="0" w:firstLine="0"/>
              <w:jc w:val="center"/>
              <w:rPr>
                <w:rFonts w:cs="宋体"/>
                <w:kern w:val="0"/>
                <w:szCs w:val="26"/>
              </w:rPr>
            </w:pPr>
            <w:proofErr w:type="spellStart"/>
            <w:r w:rsidRPr="00875260">
              <w:rPr>
                <w:rFonts w:hint="eastAsia"/>
                <w:color w:val="000000"/>
                <w:szCs w:val="24"/>
              </w:rPr>
              <w:t>EaaS</w:t>
            </w:r>
            <w:proofErr w:type="spellEnd"/>
            <w:r>
              <w:rPr>
                <w:rFonts w:hint="eastAsia"/>
                <w:color w:val="000000"/>
                <w:szCs w:val="24"/>
              </w:rPr>
              <w:t>高性能计算</w:t>
            </w:r>
            <w:proofErr w:type="gramStart"/>
            <w:r>
              <w:rPr>
                <w:rFonts w:hint="eastAsia"/>
                <w:color w:val="000000"/>
                <w:szCs w:val="24"/>
              </w:rPr>
              <w:t>云系统维保</w:t>
            </w:r>
            <w:proofErr w:type="gramEnd"/>
            <w:r>
              <w:rPr>
                <w:rFonts w:hint="eastAsia"/>
                <w:color w:val="000000"/>
                <w:szCs w:val="24"/>
              </w:rPr>
              <w:t>服务</w:t>
            </w:r>
          </w:p>
        </w:tc>
        <w:tc>
          <w:tcPr>
            <w:tcW w:w="1677" w:type="pct"/>
            <w:tcBorders>
              <w:top w:val="nil"/>
              <w:left w:val="nil"/>
              <w:bottom w:val="single" w:sz="4" w:space="0" w:color="auto"/>
              <w:right w:val="single" w:sz="4" w:space="0" w:color="auto"/>
            </w:tcBorders>
            <w:vAlign w:val="center"/>
          </w:tcPr>
          <w:p w:rsidR="00E70D8B" w:rsidRDefault="00E70D8B" w:rsidP="00E70D8B">
            <w:pPr>
              <w:widowControl/>
              <w:adjustRightInd w:val="0"/>
              <w:snapToGrid w:val="0"/>
              <w:spacing w:before="0" w:after="0" w:line="240" w:lineRule="auto"/>
              <w:ind w:firstLineChars="0" w:firstLine="0"/>
              <w:jc w:val="center"/>
              <w:rPr>
                <w:rFonts w:cs="宋体"/>
                <w:kern w:val="0"/>
                <w:szCs w:val="26"/>
              </w:rPr>
            </w:pPr>
            <w:proofErr w:type="gramStart"/>
            <w:r>
              <w:rPr>
                <w:rFonts w:cs="宋体" w:hint="eastAsia"/>
                <w:kern w:val="0"/>
                <w:szCs w:val="26"/>
              </w:rPr>
              <w:t>维保期限</w:t>
            </w:r>
            <w:proofErr w:type="gramEnd"/>
            <w:r>
              <w:rPr>
                <w:rFonts w:cs="宋体" w:hint="eastAsia"/>
                <w:kern w:val="0"/>
                <w:szCs w:val="26"/>
              </w:rPr>
              <w:t>同本项目</w:t>
            </w:r>
          </w:p>
        </w:tc>
      </w:tr>
    </w:tbl>
    <w:p w:rsidR="008E3800" w:rsidRDefault="008E3800" w:rsidP="008E3800">
      <w:pPr>
        <w:ind w:firstLine="480"/>
      </w:pPr>
      <w:bookmarkStart w:id="4" w:name="_Toc8821928"/>
      <w:bookmarkEnd w:id="2"/>
      <w:bookmarkEnd w:id="3"/>
    </w:p>
    <w:p w:rsidR="00126C2A" w:rsidRDefault="00E70D8B" w:rsidP="008E3800">
      <w:pPr>
        <w:pStyle w:val="HPC2"/>
      </w:pPr>
      <w:r>
        <w:rPr>
          <w:rFonts w:hint="eastAsia"/>
        </w:rPr>
        <w:t>技术规则要求</w:t>
      </w:r>
    </w:p>
    <w:p w:rsidR="008D397F" w:rsidRDefault="008E3800" w:rsidP="008E3800">
      <w:pPr>
        <w:pStyle w:val="3"/>
        <w:numPr>
          <w:ilvl w:val="0"/>
          <w:numId w:val="0"/>
        </w:numPr>
      </w:pPr>
      <w:r>
        <w:t>2.1.1</w:t>
      </w:r>
      <w:r w:rsidR="00E70D8B">
        <w:rPr>
          <w:rFonts w:hint="eastAsia"/>
        </w:rPr>
        <w:t>分布式</w:t>
      </w:r>
      <w:r w:rsidR="00126C2A">
        <w:rPr>
          <w:rFonts w:hint="eastAsia"/>
        </w:rPr>
        <w:t>存储</w:t>
      </w:r>
    </w:p>
    <w:p w:rsidR="00E646EB" w:rsidRPr="00031431" w:rsidRDefault="00E646EB" w:rsidP="008E3800">
      <w:pPr>
        <w:widowControl/>
        <w:spacing w:before="0" w:after="0"/>
        <w:ind w:firstLine="440"/>
        <w:jc w:val="left"/>
        <w:rPr>
          <w:rFonts w:cs="宋体"/>
          <w:kern w:val="0"/>
          <w:sz w:val="22"/>
          <w:szCs w:val="18"/>
        </w:rPr>
      </w:pPr>
      <w:r w:rsidRPr="00031431">
        <w:rPr>
          <w:rFonts w:cs="宋体" w:hint="eastAsia"/>
          <w:kern w:val="0"/>
          <w:sz w:val="22"/>
          <w:szCs w:val="18"/>
        </w:rPr>
        <w:t>内嵌高性能数据存取引擎，用于并行处理所有客户端的数据访问请求，内嵌高性能数据恢复引擎，支持节点间</w:t>
      </w:r>
      <w:r w:rsidRPr="00031431">
        <w:rPr>
          <w:rFonts w:cs="宋体"/>
          <w:kern w:val="0"/>
          <w:sz w:val="22"/>
          <w:szCs w:val="18"/>
        </w:rPr>
        <w:t>Replication(多副本)/N+M(纠</w:t>
      </w:r>
      <w:proofErr w:type="gramStart"/>
      <w:r w:rsidRPr="00031431">
        <w:rPr>
          <w:rFonts w:cs="宋体"/>
          <w:kern w:val="0"/>
          <w:sz w:val="22"/>
          <w:szCs w:val="18"/>
        </w:rPr>
        <w:t>删</w:t>
      </w:r>
      <w:proofErr w:type="gramEnd"/>
      <w:r w:rsidRPr="00031431">
        <w:rPr>
          <w:rFonts w:cs="宋体"/>
          <w:kern w:val="0"/>
          <w:sz w:val="22"/>
          <w:szCs w:val="18"/>
        </w:rPr>
        <w:t xml:space="preserve">码)数据冗余方式文件协议 </w:t>
      </w:r>
    </w:p>
    <w:p w:rsidR="00E646EB" w:rsidRPr="00031431" w:rsidRDefault="00E646EB" w:rsidP="00E646EB">
      <w:pPr>
        <w:widowControl/>
        <w:spacing w:before="0" w:after="0"/>
        <w:ind w:firstLineChars="0" w:firstLine="0"/>
        <w:jc w:val="left"/>
        <w:rPr>
          <w:rFonts w:cs="宋体"/>
          <w:kern w:val="0"/>
          <w:sz w:val="22"/>
          <w:szCs w:val="18"/>
        </w:rPr>
      </w:pPr>
      <w:r w:rsidRPr="00031431">
        <w:rPr>
          <w:rFonts w:cs="宋体" w:hint="eastAsia"/>
          <w:kern w:val="0"/>
          <w:sz w:val="22"/>
          <w:szCs w:val="18"/>
        </w:rPr>
        <w:t>处理器：配置≥</w:t>
      </w:r>
      <w:r w:rsidRPr="00031431">
        <w:rPr>
          <w:rFonts w:cs="宋体"/>
          <w:kern w:val="0"/>
          <w:sz w:val="22"/>
          <w:szCs w:val="18"/>
        </w:rPr>
        <w:t>2颗X86处理器，每颗CPU核心数≥32核，每颗CPU主频≥2.5GHz。</w:t>
      </w:r>
    </w:p>
    <w:p w:rsidR="00E646EB" w:rsidRPr="00031431" w:rsidRDefault="00E646EB" w:rsidP="00E646EB">
      <w:pPr>
        <w:widowControl/>
        <w:spacing w:before="0" w:after="0"/>
        <w:ind w:firstLineChars="0" w:firstLine="0"/>
        <w:jc w:val="left"/>
        <w:rPr>
          <w:rFonts w:cs="宋体"/>
          <w:kern w:val="0"/>
          <w:sz w:val="22"/>
          <w:szCs w:val="18"/>
        </w:rPr>
      </w:pPr>
      <w:r w:rsidRPr="00031431">
        <w:rPr>
          <w:rFonts w:cs="宋体" w:hint="eastAsia"/>
          <w:kern w:val="0"/>
          <w:sz w:val="22"/>
          <w:szCs w:val="18"/>
        </w:rPr>
        <w:t>内存：配置≥</w:t>
      </w:r>
      <w:r w:rsidRPr="00031431">
        <w:rPr>
          <w:rFonts w:cs="宋体"/>
          <w:kern w:val="0"/>
          <w:sz w:val="22"/>
          <w:szCs w:val="18"/>
        </w:rPr>
        <w:t>8条32G DDR</w:t>
      </w:r>
      <w:r w:rsidR="00C034E6">
        <w:rPr>
          <w:rFonts w:cs="宋体"/>
          <w:kern w:val="0"/>
          <w:sz w:val="22"/>
          <w:szCs w:val="18"/>
        </w:rPr>
        <w:t>5</w:t>
      </w:r>
      <w:r w:rsidRPr="00031431">
        <w:rPr>
          <w:rFonts w:cs="宋体"/>
          <w:kern w:val="0"/>
          <w:sz w:val="22"/>
          <w:szCs w:val="18"/>
        </w:rPr>
        <w:t>。</w:t>
      </w:r>
    </w:p>
    <w:p w:rsidR="00E646EB" w:rsidRPr="00031431" w:rsidRDefault="00E646EB" w:rsidP="00E646EB">
      <w:pPr>
        <w:widowControl/>
        <w:spacing w:before="0" w:after="0"/>
        <w:ind w:firstLineChars="0" w:firstLine="0"/>
        <w:jc w:val="left"/>
        <w:rPr>
          <w:rFonts w:cs="宋体"/>
          <w:kern w:val="0"/>
          <w:sz w:val="22"/>
          <w:szCs w:val="18"/>
        </w:rPr>
      </w:pPr>
      <w:r w:rsidRPr="00031431">
        <w:rPr>
          <w:rFonts w:cs="宋体" w:hint="eastAsia"/>
          <w:kern w:val="0"/>
          <w:sz w:val="22"/>
          <w:szCs w:val="18"/>
        </w:rPr>
        <w:lastRenderedPageBreak/>
        <w:t>存储空间：配置≥</w:t>
      </w:r>
      <w:r w:rsidRPr="00031431">
        <w:rPr>
          <w:rFonts w:cs="宋体"/>
          <w:kern w:val="0"/>
          <w:sz w:val="22"/>
          <w:szCs w:val="18"/>
        </w:rPr>
        <w:t>36个3.5寸热插拔硬盘槽位，≥4个2.5寸后置热插拔硬盘槽位。</w:t>
      </w:r>
    </w:p>
    <w:p w:rsidR="00E646EB" w:rsidRPr="00031431" w:rsidRDefault="00E646EB" w:rsidP="00E646EB">
      <w:pPr>
        <w:widowControl/>
        <w:spacing w:before="0" w:after="0"/>
        <w:ind w:firstLineChars="0" w:firstLine="0"/>
        <w:jc w:val="left"/>
        <w:rPr>
          <w:rFonts w:cs="宋体"/>
          <w:kern w:val="0"/>
          <w:sz w:val="22"/>
          <w:szCs w:val="18"/>
        </w:rPr>
      </w:pPr>
      <w:r w:rsidRPr="00031431">
        <w:rPr>
          <w:rFonts w:cs="宋体" w:hint="eastAsia"/>
          <w:kern w:val="0"/>
          <w:sz w:val="22"/>
          <w:szCs w:val="18"/>
        </w:rPr>
        <w:t>系统盘：≥</w:t>
      </w:r>
      <w:r w:rsidRPr="00031431">
        <w:rPr>
          <w:rFonts w:cs="宋体"/>
          <w:kern w:val="0"/>
          <w:sz w:val="22"/>
          <w:szCs w:val="18"/>
        </w:rPr>
        <w:t>2块960G 2.5 SATA SSD，</w:t>
      </w:r>
    </w:p>
    <w:p w:rsidR="00E646EB" w:rsidRPr="00031431" w:rsidRDefault="00E646EB" w:rsidP="00E646EB">
      <w:pPr>
        <w:widowControl/>
        <w:spacing w:before="0" w:after="0"/>
        <w:ind w:firstLineChars="0" w:firstLine="0"/>
        <w:jc w:val="left"/>
        <w:rPr>
          <w:rFonts w:cs="宋体"/>
          <w:kern w:val="0"/>
          <w:sz w:val="22"/>
          <w:szCs w:val="18"/>
        </w:rPr>
      </w:pPr>
      <w:r w:rsidRPr="00031431">
        <w:rPr>
          <w:rFonts w:cs="宋体" w:hint="eastAsia"/>
          <w:kern w:val="0"/>
          <w:sz w:val="22"/>
          <w:szCs w:val="18"/>
        </w:rPr>
        <w:t>缓存盘：≥</w:t>
      </w:r>
      <w:r w:rsidRPr="00031431">
        <w:rPr>
          <w:rFonts w:cs="宋体"/>
          <w:kern w:val="0"/>
          <w:sz w:val="22"/>
          <w:szCs w:val="18"/>
        </w:rPr>
        <w:t>2块3.84T NVME 硬盘，</w:t>
      </w:r>
    </w:p>
    <w:p w:rsidR="00E646EB" w:rsidRPr="00031431" w:rsidRDefault="00E646EB" w:rsidP="00E646EB">
      <w:pPr>
        <w:widowControl/>
        <w:spacing w:before="0" w:after="0"/>
        <w:ind w:firstLineChars="0" w:firstLine="0"/>
        <w:jc w:val="left"/>
        <w:rPr>
          <w:rFonts w:cs="宋体"/>
          <w:kern w:val="0"/>
          <w:sz w:val="22"/>
          <w:szCs w:val="18"/>
        </w:rPr>
      </w:pPr>
      <w:r w:rsidRPr="00031431">
        <w:rPr>
          <w:rFonts w:cs="宋体" w:hint="eastAsia"/>
          <w:kern w:val="0"/>
          <w:sz w:val="22"/>
          <w:szCs w:val="18"/>
        </w:rPr>
        <w:t>数据盘：≥</w:t>
      </w:r>
      <w:r w:rsidRPr="00031431">
        <w:rPr>
          <w:rFonts w:cs="宋体"/>
          <w:kern w:val="0"/>
          <w:sz w:val="22"/>
          <w:szCs w:val="18"/>
        </w:rPr>
        <w:t>3</w:t>
      </w:r>
      <w:r w:rsidR="008D693E">
        <w:rPr>
          <w:rFonts w:cs="宋体"/>
          <w:kern w:val="0"/>
          <w:sz w:val="22"/>
          <w:szCs w:val="18"/>
        </w:rPr>
        <w:t>4</w:t>
      </w:r>
      <w:r w:rsidRPr="00031431">
        <w:rPr>
          <w:rFonts w:cs="宋体"/>
          <w:kern w:val="0"/>
          <w:sz w:val="22"/>
          <w:szCs w:val="18"/>
        </w:rPr>
        <w:t>块2</w:t>
      </w:r>
      <w:r w:rsidR="008D693E">
        <w:rPr>
          <w:rFonts w:cs="宋体"/>
          <w:kern w:val="0"/>
          <w:sz w:val="22"/>
          <w:szCs w:val="18"/>
        </w:rPr>
        <w:t>4</w:t>
      </w:r>
      <w:r w:rsidRPr="00031431">
        <w:rPr>
          <w:rFonts w:cs="宋体"/>
          <w:kern w:val="0"/>
          <w:sz w:val="22"/>
          <w:szCs w:val="18"/>
        </w:rPr>
        <w:t>TB 3.5寸7.2K SATA硬盘。</w:t>
      </w:r>
    </w:p>
    <w:p w:rsidR="00E646EB" w:rsidRPr="00031431" w:rsidRDefault="00E646EB" w:rsidP="00E646EB">
      <w:pPr>
        <w:widowControl/>
        <w:spacing w:before="0" w:after="0"/>
        <w:ind w:firstLineChars="0" w:firstLine="0"/>
        <w:jc w:val="left"/>
        <w:rPr>
          <w:rFonts w:cs="宋体"/>
          <w:kern w:val="0"/>
          <w:sz w:val="22"/>
          <w:szCs w:val="18"/>
        </w:rPr>
      </w:pPr>
      <w:r w:rsidRPr="00031431">
        <w:rPr>
          <w:rFonts w:cs="宋体" w:hint="eastAsia"/>
          <w:kern w:val="0"/>
          <w:sz w:val="22"/>
          <w:szCs w:val="18"/>
        </w:rPr>
        <w:t>存储协议：</w:t>
      </w:r>
      <w:r w:rsidRPr="00031431">
        <w:rPr>
          <w:rFonts w:cs="宋体"/>
          <w:kern w:val="0"/>
          <w:sz w:val="22"/>
          <w:szCs w:val="18"/>
        </w:rPr>
        <w:t>Linux POSIX、NFS、SMB、FTP、S3、HDFS。</w:t>
      </w:r>
    </w:p>
    <w:p w:rsidR="00E70D8B" w:rsidRDefault="00E646EB" w:rsidP="00E70D8B">
      <w:pPr>
        <w:ind w:firstLineChars="0" w:firstLine="0"/>
        <w:rPr>
          <w:rFonts w:cs="宋体"/>
          <w:kern w:val="0"/>
          <w:sz w:val="22"/>
          <w:szCs w:val="18"/>
        </w:rPr>
      </w:pPr>
      <w:r w:rsidRPr="00031431">
        <w:rPr>
          <w:rFonts w:cs="宋体" w:hint="eastAsia"/>
          <w:kern w:val="0"/>
          <w:sz w:val="22"/>
          <w:szCs w:val="18"/>
        </w:rPr>
        <w:t>网络：配置≥</w:t>
      </w:r>
      <w:r w:rsidRPr="00031431">
        <w:rPr>
          <w:rFonts w:cs="宋体"/>
          <w:kern w:val="0"/>
          <w:sz w:val="22"/>
          <w:szCs w:val="18"/>
        </w:rPr>
        <w:t>1张双口1G RJ45网卡，配置≥1张双口10G光纤网卡（含SFP+</w:t>
      </w:r>
      <w:proofErr w:type="gramStart"/>
      <w:r w:rsidRPr="00031431">
        <w:rPr>
          <w:rFonts w:cs="宋体"/>
          <w:kern w:val="0"/>
          <w:sz w:val="22"/>
          <w:szCs w:val="18"/>
        </w:rPr>
        <w:t>多模光模块</w:t>
      </w:r>
      <w:proofErr w:type="gramEnd"/>
      <w:r w:rsidRPr="00031431">
        <w:rPr>
          <w:rFonts w:cs="宋体"/>
          <w:kern w:val="0"/>
          <w:sz w:val="22"/>
          <w:szCs w:val="18"/>
        </w:rPr>
        <w:t>），配置≥1张单端口</w:t>
      </w:r>
      <w:r w:rsidR="009C3116">
        <w:rPr>
          <w:rFonts w:cs="宋体" w:hint="eastAsia"/>
          <w:kern w:val="0"/>
          <w:sz w:val="22"/>
          <w:szCs w:val="18"/>
        </w:rPr>
        <w:t>2</w:t>
      </w:r>
      <w:r w:rsidR="002E0313">
        <w:rPr>
          <w:rFonts w:cs="宋体"/>
          <w:kern w:val="0"/>
          <w:sz w:val="22"/>
          <w:szCs w:val="18"/>
        </w:rPr>
        <w:t xml:space="preserve">00G </w:t>
      </w:r>
      <w:r w:rsidR="002E0313">
        <w:rPr>
          <w:rFonts w:cs="宋体" w:hint="eastAsia"/>
          <w:kern w:val="0"/>
          <w:sz w:val="22"/>
          <w:szCs w:val="18"/>
        </w:rPr>
        <w:t>NDR</w:t>
      </w:r>
      <w:r w:rsidRPr="00031431">
        <w:rPr>
          <w:rFonts w:cs="宋体"/>
          <w:kern w:val="0"/>
          <w:sz w:val="22"/>
          <w:szCs w:val="18"/>
        </w:rPr>
        <w:t xml:space="preserve"> HCA卡</w:t>
      </w:r>
    </w:p>
    <w:p w:rsidR="00E70D8B" w:rsidRDefault="00E70D8B" w:rsidP="00E70D8B">
      <w:pPr>
        <w:pStyle w:val="3"/>
        <w:numPr>
          <w:ilvl w:val="0"/>
          <w:numId w:val="0"/>
        </w:numPr>
      </w:pPr>
      <w:r>
        <w:t>2.1.1</w:t>
      </w:r>
      <w:r w:rsidRPr="00E70D8B">
        <w:t xml:space="preserve"> </w:t>
      </w:r>
      <w:proofErr w:type="spellStart"/>
      <w:r w:rsidRPr="00E70D8B">
        <w:t>EaaS</w:t>
      </w:r>
      <w:proofErr w:type="spellEnd"/>
      <w:r w:rsidRPr="00E70D8B">
        <w:t>高性能计算</w:t>
      </w:r>
      <w:proofErr w:type="gramStart"/>
      <w:r w:rsidRPr="00E70D8B">
        <w:t>云系统维保</w:t>
      </w:r>
      <w:proofErr w:type="gramEnd"/>
      <w:r w:rsidRPr="00E70D8B">
        <w:t>服务</w:t>
      </w:r>
    </w:p>
    <w:p w:rsidR="00AA7EB6" w:rsidRDefault="00F150B6" w:rsidP="00AA7EB6">
      <w:pPr>
        <w:ind w:firstLine="480"/>
      </w:pPr>
      <w:r>
        <w:rPr>
          <w:rFonts w:hint="eastAsia"/>
        </w:rPr>
        <w:t>采购</w:t>
      </w:r>
      <w:r w:rsidR="000C32A5">
        <w:rPr>
          <w:rFonts w:hint="eastAsia"/>
        </w:rPr>
        <w:t>现使用的</w:t>
      </w:r>
      <w:r w:rsidR="000C32A5" w:rsidRPr="00875260">
        <w:rPr>
          <w:rFonts w:hint="eastAsia"/>
          <w:color w:val="000000"/>
          <w:szCs w:val="24"/>
        </w:rPr>
        <w:t>“</w:t>
      </w:r>
      <w:proofErr w:type="spellStart"/>
      <w:r w:rsidR="000C32A5" w:rsidRPr="00875260">
        <w:rPr>
          <w:rFonts w:hint="eastAsia"/>
          <w:color w:val="000000"/>
          <w:szCs w:val="24"/>
        </w:rPr>
        <w:t>EaaS</w:t>
      </w:r>
      <w:proofErr w:type="spellEnd"/>
      <w:r w:rsidR="000C32A5">
        <w:rPr>
          <w:rFonts w:hint="eastAsia"/>
          <w:color w:val="000000"/>
          <w:szCs w:val="24"/>
        </w:rPr>
        <w:t>高性能计算云系统”</w:t>
      </w:r>
      <w:r w:rsidR="00703574">
        <w:rPr>
          <w:rFonts w:hint="eastAsia"/>
          <w:color w:val="000000"/>
          <w:szCs w:val="24"/>
        </w:rPr>
        <w:t>的</w:t>
      </w:r>
      <w:proofErr w:type="gramStart"/>
      <w:r>
        <w:rPr>
          <w:rFonts w:hint="eastAsia"/>
          <w:color w:val="000000"/>
          <w:szCs w:val="24"/>
        </w:rPr>
        <w:t>原厂</w:t>
      </w:r>
      <w:r w:rsidR="000C32A5">
        <w:rPr>
          <w:rFonts w:hint="eastAsia"/>
          <w:color w:val="000000"/>
          <w:szCs w:val="24"/>
        </w:rPr>
        <w:t>维保服务</w:t>
      </w:r>
      <w:proofErr w:type="gramEnd"/>
      <w:r w:rsidR="00C47973">
        <w:rPr>
          <w:rFonts w:hint="eastAsia"/>
          <w:color w:val="000000"/>
          <w:szCs w:val="24"/>
        </w:rPr>
        <w:t>，包括不限于系统维护、科研计算环境升级等等</w:t>
      </w:r>
      <w:r w:rsidR="000C32A5">
        <w:rPr>
          <w:rFonts w:hint="eastAsia"/>
          <w:color w:val="000000"/>
          <w:szCs w:val="24"/>
        </w:rPr>
        <w:t>，</w:t>
      </w:r>
      <w:proofErr w:type="gramStart"/>
      <w:r w:rsidR="000C32A5">
        <w:rPr>
          <w:rFonts w:hint="eastAsia"/>
          <w:color w:val="000000"/>
          <w:szCs w:val="24"/>
        </w:rPr>
        <w:t>维保周期</w:t>
      </w:r>
      <w:proofErr w:type="gramEnd"/>
      <w:r w:rsidR="000C32A5">
        <w:rPr>
          <w:rFonts w:ascii="Segoe UI Symbol" w:hAnsi="Segoe UI Symbol" w:cs="Segoe UI Symbol" w:hint="eastAsia"/>
          <w:color w:val="000000"/>
          <w:szCs w:val="24"/>
        </w:rPr>
        <w:t>至本项目验收后</w:t>
      </w:r>
      <w:r w:rsidR="000C32A5">
        <w:rPr>
          <w:rFonts w:ascii="Segoe UI Symbol" w:hAnsi="Segoe UI Symbol" w:cs="Segoe UI Symbol"/>
          <w:color w:val="000000"/>
          <w:szCs w:val="24"/>
        </w:rPr>
        <w:t>5</w:t>
      </w:r>
      <w:r w:rsidR="000C32A5">
        <w:rPr>
          <w:rFonts w:ascii="Segoe UI Symbol" w:hAnsi="Segoe UI Symbol" w:cs="Segoe UI Symbol" w:hint="eastAsia"/>
          <w:color w:val="000000"/>
          <w:szCs w:val="24"/>
        </w:rPr>
        <w:t>年</w:t>
      </w:r>
      <w:r w:rsidR="000A7C4C">
        <w:rPr>
          <w:rFonts w:ascii="Segoe UI Symbol" w:hAnsi="Segoe UI Symbol" w:cs="Segoe UI Symbol" w:hint="eastAsia"/>
          <w:color w:val="000000"/>
          <w:szCs w:val="24"/>
        </w:rPr>
        <w:t>止</w:t>
      </w:r>
      <w:r w:rsidR="000C32A5">
        <w:rPr>
          <w:rFonts w:ascii="Segoe UI Symbol" w:hAnsi="Segoe UI Symbol" w:cs="Segoe UI Symbol" w:hint="eastAsia"/>
          <w:color w:val="000000"/>
          <w:szCs w:val="24"/>
        </w:rPr>
        <w:t>。</w:t>
      </w:r>
      <w:r>
        <w:rPr>
          <w:rFonts w:ascii="Segoe UI Symbol" w:hAnsi="Segoe UI Symbol" w:cs="Segoe UI Symbol" w:hint="eastAsia"/>
          <w:color w:val="000000"/>
          <w:szCs w:val="24"/>
        </w:rPr>
        <w:t>授权许可数量</w:t>
      </w:r>
      <w:r w:rsidR="000C32A5">
        <w:rPr>
          <w:rFonts w:hint="eastAsia"/>
        </w:rPr>
        <w:t>如下：</w:t>
      </w:r>
    </w:p>
    <w:tbl>
      <w:tblPr>
        <w:tblW w:w="5000" w:type="pct"/>
        <w:tblLook w:val="04A0" w:firstRow="1" w:lastRow="0" w:firstColumn="1" w:lastColumn="0" w:noHBand="0" w:noVBand="1"/>
      </w:tblPr>
      <w:tblGrid>
        <w:gridCol w:w="2474"/>
        <w:gridCol w:w="2378"/>
        <w:gridCol w:w="2029"/>
        <w:gridCol w:w="2855"/>
      </w:tblGrid>
      <w:tr w:rsidR="00703574" w:rsidRPr="00703574" w:rsidTr="00703574">
        <w:trPr>
          <w:trHeight w:val="300"/>
        </w:trPr>
        <w:tc>
          <w:tcPr>
            <w:tcW w:w="12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pPr>
            <w:r w:rsidRPr="00703574">
              <w:rPr>
                <w:rFonts w:hint="eastAsia"/>
              </w:rPr>
              <w:t>服务器类型</w:t>
            </w:r>
          </w:p>
        </w:tc>
        <w:tc>
          <w:tcPr>
            <w:tcW w:w="1221" w:type="pct"/>
            <w:tcBorders>
              <w:top w:val="single" w:sz="4" w:space="0" w:color="auto"/>
              <w:left w:val="nil"/>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r w:rsidRPr="00703574">
              <w:rPr>
                <w:rFonts w:hint="eastAsia"/>
              </w:rPr>
              <w:t>服务器数量</w:t>
            </w:r>
          </w:p>
        </w:tc>
        <w:tc>
          <w:tcPr>
            <w:tcW w:w="1042" w:type="pct"/>
            <w:tcBorders>
              <w:top w:val="single" w:sz="4" w:space="0" w:color="auto"/>
              <w:left w:val="nil"/>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proofErr w:type="spellStart"/>
            <w:r w:rsidRPr="00703574">
              <w:rPr>
                <w:rFonts w:hint="eastAsia"/>
              </w:rPr>
              <w:t>cpu</w:t>
            </w:r>
            <w:proofErr w:type="spellEnd"/>
            <w:r w:rsidRPr="00703574">
              <w:rPr>
                <w:rFonts w:hint="eastAsia"/>
              </w:rPr>
              <w:t>数量</w:t>
            </w:r>
          </w:p>
        </w:tc>
        <w:tc>
          <w:tcPr>
            <w:tcW w:w="1466" w:type="pct"/>
            <w:tcBorders>
              <w:top w:val="single" w:sz="4" w:space="0" w:color="auto"/>
              <w:left w:val="nil"/>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r w:rsidRPr="00703574">
              <w:rPr>
                <w:rFonts w:hint="eastAsia"/>
              </w:rPr>
              <w:t>GPU数量</w:t>
            </w:r>
          </w:p>
        </w:tc>
      </w:tr>
      <w:tr w:rsidR="00703574" w:rsidRPr="00703574" w:rsidTr="00703574">
        <w:trPr>
          <w:trHeight w:val="300"/>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rsidR="00703574" w:rsidRPr="00703574" w:rsidRDefault="00703574" w:rsidP="00703574">
            <w:pPr>
              <w:spacing w:line="240" w:lineRule="auto"/>
              <w:ind w:firstLine="480"/>
              <w:jc w:val="center"/>
              <w:rPr>
                <w:rFonts w:hint="eastAsia"/>
              </w:rPr>
            </w:pPr>
            <w:r w:rsidRPr="00703574">
              <w:rPr>
                <w:rFonts w:hint="eastAsia"/>
              </w:rPr>
              <w:t>4UCPU服务器</w:t>
            </w:r>
          </w:p>
        </w:tc>
        <w:tc>
          <w:tcPr>
            <w:tcW w:w="1221" w:type="pct"/>
            <w:tcBorders>
              <w:top w:val="nil"/>
              <w:left w:val="nil"/>
              <w:bottom w:val="single" w:sz="4" w:space="0" w:color="auto"/>
              <w:right w:val="single" w:sz="4" w:space="0" w:color="auto"/>
            </w:tcBorders>
            <w:shd w:val="clear" w:color="auto" w:fill="auto"/>
            <w:noWrap/>
            <w:vAlign w:val="bottom"/>
            <w:hideMark/>
          </w:tcPr>
          <w:p w:rsidR="00703574" w:rsidRPr="00703574" w:rsidRDefault="00703574" w:rsidP="00703574">
            <w:pPr>
              <w:spacing w:line="240" w:lineRule="auto"/>
              <w:ind w:firstLine="480"/>
              <w:jc w:val="center"/>
              <w:rPr>
                <w:rFonts w:hint="eastAsia"/>
              </w:rPr>
            </w:pPr>
            <w:r w:rsidRPr="00703574">
              <w:rPr>
                <w:rFonts w:hint="eastAsia"/>
              </w:rPr>
              <w:t>9</w:t>
            </w:r>
          </w:p>
        </w:tc>
        <w:tc>
          <w:tcPr>
            <w:tcW w:w="1042" w:type="pct"/>
            <w:tcBorders>
              <w:top w:val="nil"/>
              <w:left w:val="nil"/>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r w:rsidRPr="00703574">
              <w:rPr>
                <w:rFonts w:hint="eastAsia"/>
              </w:rPr>
              <w:t>36</w:t>
            </w:r>
          </w:p>
        </w:tc>
        <w:tc>
          <w:tcPr>
            <w:tcW w:w="1466" w:type="pct"/>
            <w:tcBorders>
              <w:top w:val="nil"/>
              <w:left w:val="nil"/>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r w:rsidRPr="00703574">
              <w:rPr>
                <w:rFonts w:hint="eastAsia"/>
              </w:rPr>
              <w:t>0</w:t>
            </w:r>
          </w:p>
        </w:tc>
      </w:tr>
      <w:tr w:rsidR="00703574" w:rsidRPr="00703574" w:rsidTr="00703574">
        <w:trPr>
          <w:trHeight w:val="300"/>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rsidR="00703574" w:rsidRPr="00703574" w:rsidRDefault="00703574" w:rsidP="00703574">
            <w:pPr>
              <w:spacing w:line="240" w:lineRule="auto"/>
              <w:ind w:firstLine="480"/>
              <w:jc w:val="center"/>
              <w:rPr>
                <w:rFonts w:hint="eastAsia"/>
              </w:rPr>
            </w:pPr>
            <w:r w:rsidRPr="00703574">
              <w:rPr>
                <w:rFonts w:hint="eastAsia"/>
              </w:rPr>
              <w:t>4UGPU服务器</w:t>
            </w:r>
          </w:p>
        </w:tc>
        <w:tc>
          <w:tcPr>
            <w:tcW w:w="1221" w:type="pct"/>
            <w:tcBorders>
              <w:top w:val="nil"/>
              <w:left w:val="nil"/>
              <w:bottom w:val="single" w:sz="4" w:space="0" w:color="auto"/>
              <w:right w:val="single" w:sz="4" w:space="0" w:color="auto"/>
            </w:tcBorders>
            <w:shd w:val="clear" w:color="auto" w:fill="auto"/>
            <w:noWrap/>
            <w:vAlign w:val="bottom"/>
            <w:hideMark/>
          </w:tcPr>
          <w:p w:rsidR="00703574" w:rsidRPr="00703574" w:rsidRDefault="00703574" w:rsidP="00703574">
            <w:pPr>
              <w:spacing w:line="240" w:lineRule="auto"/>
              <w:ind w:firstLine="480"/>
              <w:jc w:val="center"/>
              <w:rPr>
                <w:rFonts w:hint="eastAsia"/>
              </w:rPr>
            </w:pPr>
            <w:r w:rsidRPr="00703574">
              <w:rPr>
                <w:rFonts w:hint="eastAsia"/>
              </w:rPr>
              <w:t>6</w:t>
            </w:r>
          </w:p>
        </w:tc>
        <w:tc>
          <w:tcPr>
            <w:tcW w:w="1042" w:type="pct"/>
            <w:tcBorders>
              <w:top w:val="nil"/>
              <w:left w:val="nil"/>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r w:rsidRPr="00703574">
              <w:rPr>
                <w:rFonts w:hint="eastAsia"/>
              </w:rPr>
              <w:t>12</w:t>
            </w:r>
          </w:p>
        </w:tc>
        <w:tc>
          <w:tcPr>
            <w:tcW w:w="1466" w:type="pct"/>
            <w:tcBorders>
              <w:top w:val="nil"/>
              <w:left w:val="nil"/>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r w:rsidRPr="00703574">
              <w:rPr>
                <w:rFonts w:hint="eastAsia"/>
              </w:rPr>
              <w:t>48</w:t>
            </w:r>
          </w:p>
        </w:tc>
      </w:tr>
      <w:tr w:rsidR="00703574" w:rsidRPr="00703574" w:rsidTr="00703574">
        <w:trPr>
          <w:trHeight w:val="300"/>
        </w:trPr>
        <w:tc>
          <w:tcPr>
            <w:tcW w:w="1270" w:type="pct"/>
            <w:tcBorders>
              <w:top w:val="nil"/>
              <w:left w:val="single" w:sz="4" w:space="0" w:color="auto"/>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r w:rsidRPr="00703574">
              <w:rPr>
                <w:rFonts w:hint="eastAsia"/>
              </w:rPr>
              <w:t>2UCPU服务器</w:t>
            </w:r>
          </w:p>
        </w:tc>
        <w:tc>
          <w:tcPr>
            <w:tcW w:w="1221" w:type="pct"/>
            <w:tcBorders>
              <w:top w:val="nil"/>
              <w:left w:val="nil"/>
              <w:bottom w:val="single" w:sz="4" w:space="0" w:color="auto"/>
              <w:right w:val="single" w:sz="4" w:space="0" w:color="auto"/>
            </w:tcBorders>
            <w:shd w:val="clear" w:color="auto" w:fill="auto"/>
            <w:noWrap/>
            <w:vAlign w:val="center"/>
            <w:hideMark/>
          </w:tcPr>
          <w:p w:rsidR="00703574" w:rsidRPr="00703574" w:rsidRDefault="009C3116" w:rsidP="00703574">
            <w:pPr>
              <w:spacing w:line="240" w:lineRule="auto"/>
              <w:ind w:firstLine="480"/>
              <w:jc w:val="center"/>
              <w:rPr>
                <w:rFonts w:hint="eastAsia"/>
              </w:rPr>
            </w:pPr>
            <w:r>
              <w:t>1</w:t>
            </w:r>
          </w:p>
        </w:tc>
        <w:tc>
          <w:tcPr>
            <w:tcW w:w="1042" w:type="pct"/>
            <w:tcBorders>
              <w:top w:val="nil"/>
              <w:left w:val="nil"/>
              <w:bottom w:val="single" w:sz="4" w:space="0" w:color="auto"/>
              <w:right w:val="single" w:sz="4" w:space="0" w:color="auto"/>
            </w:tcBorders>
            <w:shd w:val="clear" w:color="auto" w:fill="auto"/>
            <w:noWrap/>
            <w:vAlign w:val="center"/>
            <w:hideMark/>
          </w:tcPr>
          <w:p w:rsidR="00703574" w:rsidRPr="00703574" w:rsidRDefault="009C3116" w:rsidP="00703574">
            <w:pPr>
              <w:spacing w:line="240" w:lineRule="auto"/>
              <w:ind w:firstLine="480"/>
              <w:jc w:val="center"/>
              <w:rPr>
                <w:rFonts w:hint="eastAsia"/>
              </w:rPr>
            </w:pPr>
            <w:r>
              <w:t>2</w:t>
            </w:r>
          </w:p>
        </w:tc>
        <w:tc>
          <w:tcPr>
            <w:tcW w:w="1466" w:type="pct"/>
            <w:tcBorders>
              <w:top w:val="nil"/>
              <w:left w:val="nil"/>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r w:rsidRPr="00703574">
              <w:rPr>
                <w:rFonts w:hint="eastAsia"/>
              </w:rPr>
              <w:t>0</w:t>
            </w:r>
          </w:p>
        </w:tc>
      </w:tr>
      <w:tr w:rsidR="00703574" w:rsidRPr="00703574" w:rsidTr="00703574">
        <w:trPr>
          <w:trHeight w:val="300"/>
        </w:trPr>
        <w:tc>
          <w:tcPr>
            <w:tcW w:w="1270" w:type="pct"/>
            <w:tcBorders>
              <w:top w:val="nil"/>
              <w:left w:val="single" w:sz="4" w:space="0" w:color="auto"/>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r w:rsidRPr="00703574">
              <w:rPr>
                <w:rFonts w:hint="eastAsia"/>
              </w:rPr>
              <w:t>1UCPU服务器</w:t>
            </w:r>
          </w:p>
        </w:tc>
        <w:tc>
          <w:tcPr>
            <w:tcW w:w="1221" w:type="pct"/>
            <w:tcBorders>
              <w:top w:val="nil"/>
              <w:left w:val="nil"/>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r w:rsidRPr="00703574">
              <w:rPr>
                <w:rFonts w:hint="eastAsia"/>
              </w:rPr>
              <w:t>1</w:t>
            </w:r>
          </w:p>
        </w:tc>
        <w:tc>
          <w:tcPr>
            <w:tcW w:w="1042" w:type="pct"/>
            <w:tcBorders>
              <w:top w:val="nil"/>
              <w:left w:val="nil"/>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r w:rsidRPr="00703574">
              <w:rPr>
                <w:rFonts w:hint="eastAsia"/>
              </w:rPr>
              <w:t>1</w:t>
            </w:r>
          </w:p>
        </w:tc>
        <w:tc>
          <w:tcPr>
            <w:tcW w:w="1466" w:type="pct"/>
            <w:tcBorders>
              <w:top w:val="nil"/>
              <w:left w:val="nil"/>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r w:rsidRPr="00703574">
              <w:rPr>
                <w:rFonts w:hint="eastAsia"/>
              </w:rPr>
              <w:t>0</w:t>
            </w:r>
          </w:p>
        </w:tc>
      </w:tr>
      <w:tr w:rsidR="00703574" w:rsidRPr="00703574" w:rsidTr="00703574">
        <w:trPr>
          <w:trHeight w:val="300"/>
        </w:trPr>
        <w:tc>
          <w:tcPr>
            <w:tcW w:w="1270" w:type="pct"/>
            <w:tcBorders>
              <w:top w:val="nil"/>
              <w:left w:val="single" w:sz="4" w:space="0" w:color="auto"/>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r w:rsidRPr="00703574">
              <w:rPr>
                <w:rFonts w:hint="eastAsia"/>
              </w:rPr>
              <w:t>合计</w:t>
            </w:r>
          </w:p>
        </w:tc>
        <w:tc>
          <w:tcPr>
            <w:tcW w:w="1221" w:type="pct"/>
            <w:tcBorders>
              <w:top w:val="nil"/>
              <w:left w:val="nil"/>
              <w:bottom w:val="single" w:sz="4" w:space="0" w:color="auto"/>
              <w:right w:val="single" w:sz="4" w:space="0" w:color="auto"/>
            </w:tcBorders>
            <w:shd w:val="clear" w:color="auto" w:fill="auto"/>
            <w:noWrap/>
            <w:vAlign w:val="center"/>
            <w:hideMark/>
          </w:tcPr>
          <w:p w:rsidR="00703574" w:rsidRPr="00703574" w:rsidRDefault="009C3116" w:rsidP="00703574">
            <w:pPr>
              <w:spacing w:line="240" w:lineRule="auto"/>
              <w:ind w:firstLine="480"/>
              <w:jc w:val="center"/>
              <w:rPr>
                <w:rFonts w:hint="eastAsia"/>
              </w:rPr>
            </w:pPr>
            <w:r>
              <w:rPr>
                <w:rFonts w:hint="eastAsia"/>
              </w:rPr>
              <w:t>1</w:t>
            </w:r>
            <w:r>
              <w:t>7</w:t>
            </w:r>
          </w:p>
        </w:tc>
        <w:tc>
          <w:tcPr>
            <w:tcW w:w="1042" w:type="pct"/>
            <w:tcBorders>
              <w:top w:val="nil"/>
              <w:left w:val="nil"/>
              <w:bottom w:val="single" w:sz="4" w:space="0" w:color="auto"/>
              <w:right w:val="single" w:sz="4" w:space="0" w:color="auto"/>
            </w:tcBorders>
            <w:shd w:val="clear" w:color="auto" w:fill="auto"/>
            <w:noWrap/>
            <w:vAlign w:val="center"/>
            <w:hideMark/>
          </w:tcPr>
          <w:p w:rsidR="00703574" w:rsidRPr="00703574" w:rsidRDefault="00BB5598" w:rsidP="00703574">
            <w:pPr>
              <w:spacing w:line="240" w:lineRule="auto"/>
              <w:ind w:firstLine="480"/>
              <w:jc w:val="center"/>
              <w:rPr>
                <w:rFonts w:hint="eastAsia"/>
              </w:rPr>
            </w:pPr>
            <w:r>
              <w:rPr>
                <w:rFonts w:hint="eastAsia"/>
              </w:rPr>
              <w:t>5</w:t>
            </w:r>
            <w:r>
              <w:t>1</w:t>
            </w:r>
          </w:p>
        </w:tc>
        <w:tc>
          <w:tcPr>
            <w:tcW w:w="1466" w:type="pct"/>
            <w:tcBorders>
              <w:top w:val="nil"/>
              <w:left w:val="nil"/>
              <w:bottom w:val="single" w:sz="4" w:space="0" w:color="auto"/>
              <w:right w:val="single" w:sz="4" w:space="0" w:color="auto"/>
            </w:tcBorders>
            <w:shd w:val="clear" w:color="auto" w:fill="auto"/>
            <w:noWrap/>
            <w:vAlign w:val="center"/>
            <w:hideMark/>
          </w:tcPr>
          <w:p w:rsidR="00703574" w:rsidRPr="00703574" w:rsidRDefault="00703574" w:rsidP="00703574">
            <w:pPr>
              <w:spacing w:line="240" w:lineRule="auto"/>
              <w:ind w:firstLine="480"/>
              <w:jc w:val="center"/>
              <w:rPr>
                <w:rFonts w:hint="eastAsia"/>
              </w:rPr>
            </w:pPr>
            <w:r w:rsidRPr="00703574">
              <w:rPr>
                <w:rFonts w:hint="eastAsia"/>
              </w:rPr>
              <w:t>48</w:t>
            </w:r>
          </w:p>
        </w:tc>
      </w:tr>
    </w:tbl>
    <w:p w:rsidR="00F150B6" w:rsidRDefault="00703574" w:rsidP="00AA7EB6">
      <w:pPr>
        <w:ind w:firstLine="480"/>
        <w:rPr>
          <w:rFonts w:hint="eastAsia"/>
        </w:rPr>
      </w:pPr>
      <w:r>
        <w:rPr>
          <w:rFonts w:hint="eastAsia"/>
        </w:rPr>
        <w:t>存在机动调整的情况：部</w:t>
      </w:r>
      <w:bookmarkStart w:id="5" w:name="_GoBack"/>
      <w:bookmarkEnd w:id="5"/>
      <w:r>
        <w:rPr>
          <w:rFonts w:hint="eastAsia"/>
        </w:rPr>
        <w:t>分服务器可能因业务需求临时退出集群用于其他业务。</w:t>
      </w:r>
      <w:proofErr w:type="gramStart"/>
      <w:r>
        <w:rPr>
          <w:rFonts w:hint="eastAsia"/>
        </w:rPr>
        <w:t>本服务</w:t>
      </w:r>
      <w:proofErr w:type="gramEnd"/>
      <w:r>
        <w:rPr>
          <w:rFonts w:hint="eastAsia"/>
        </w:rPr>
        <w:t>包括按需退出</w:t>
      </w:r>
      <w:r w:rsidR="002C62FE">
        <w:rPr>
          <w:rFonts w:hint="eastAsia"/>
        </w:rPr>
        <w:t>或</w:t>
      </w:r>
      <w:r w:rsidR="002C62FE">
        <w:rPr>
          <w:rFonts w:hint="eastAsia"/>
        </w:rPr>
        <w:t>加入</w:t>
      </w:r>
      <w:r>
        <w:rPr>
          <w:rFonts w:hint="eastAsia"/>
        </w:rPr>
        <w:t>集群的服务。</w:t>
      </w:r>
    </w:p>
    <w:p w:rsidR="006C7B3C" w:rsidRDefault="006C7B3C" w:rsidP="00AA7EB6">
      <w:pPr>
        <w:ind w:firstLine="480"/>
        <w:rPr>
          <w:rFonts w:hint="eastAsia"/>
        </w:rPr>
      </w:pPr>
    </w:p>
    <w:p w:rsidR="0010115F" w:rsidRDefault="002248E6" w:rsidP="008D397F">
      <w:pPr>
        <w:pStyle w:val="1"/>
        <w:numPr>
          <w:ilvl w:val="0"/>
          <w:numId w:val="0"/>
        </w:numPr>
      </w:pPr>
      <w:r>
        <w:rPr>
          <w:rFonts w:hint="eastAsia"/>
        </w:rPr>
        <w:t>4</w:t>
      </w:r>
      <w:r w:rsidR="0010115F">
        <w:t>项目交付内容</w:t>
      </w:r>
      <w:bookmarkEnd w:id="4"/>
    </w:p>
    <w:p w:rsidR="0010115F" w:rsidRDefault="002248E6" w:rsidP="008D397F">
      <w:pPr>
        <w:pStyle w:val="2"/>
        <w:numPr>
          <w:ilvl w:val="0"/>
          <w:numId w:val="0"/>
        </w:numPr>
      </w:pPr>
      <w:r>
        <w:t>4</w:t>
      </w:r>
      <w:r w:rsidR="00EA03B7">
        <w:rPr>
          <w:rFonts w:hint="eastAsia"/>
        </w:rPr>
        <w:t>.1</w:t>
      </w:r>
      <w:r w:rsidR="0010115F">
        <w:rPr>
          <w:rFonts w:hint="eastAsia"/>
        </w:rPr>
        <w:t>设备安装</w:t>
      </w:r>
    </w:p>
    <w:p w:rsidR="0010115F" w:rsidRDefault="0010115F" w:rsidP="00DF0888">
      <w:pPr>
        <w:ind w:firstLine="480"/>
        <w:rPr>
          <w:lang w:bidi="en-US"/>
        </w:rPr>
      </w:pPr>
      <w:r>
        <w:rPr>
          <w:rFonts w:hint="eastAsia"/>
          <w:lang w:bidi="en-US"/>
        </w:rPr>
        <w:t>供应商必须向采购人提供本项目采购的所有硬件的安装和维护服务的全部内容，对本次采购的所有设备与使用单位现有的系统进行整合及网络联调工作。</w:t>
      </w:r>
    </w:p>
    <w:p w:rsidR="0010115F" w:rsidRDefault="0010115F" w:rsidP="00DF0888">
      <w:pPr>
        <w:ind w:firstLine="480"/>
        <w:rPr>
          <w:lang w:bidi="en-US"/>
        </w:rPr>
      </w:pPr>
      <w:r>
        <w:rPr>
          <w:rFonts w:hint="eastAsia"/>
          <w:lang w:bidi="en-US"/>
        </w:rPr>
        <w:lastRenderedPageBreak/>
        <w:t>若本项目采购的设备产品等方面的配置或要求中出现不合理或不完整的问题时，中标供应商有责任和义务在投标文件中提出补充修改方案并征得采购人同意后付诸实施。</w:t>
      </w:r>
    </w:p>
    <w:p w:rsidR="0010115F" w:rsidRDefault="0010115F" w:rsidP="00DF0888">
      <w:pPr>
        <w:ind w:firstLine="480"/>
        <w:rPr>
          <w:lang w:bidi="en-US"/>
        </w:rPr>
      </w:pPr>
      <w:r>
        <w:rPr>
          <w:lang w:bidi="en-US"/>
        </w:rPr>
        <w:t>对投标人要求：</w:t>
      </w:r>
    </w:p>
    <w:p w:rsidR="0010115F" w:rsidRDefault="0010115F" w:rsidP="00DF0888">
      <w:pPr>
        <w:pStyle w:val="aa"/>
        <w:numPr>
          <w:ilvl w:val="0"/>
          <w:numId w:val="14"/>
        </w:numPr>
        <w:ind w:firstLineChars="0"/>
        <w:rPr>
          <w:lang w:bidi="en-US"/>
        </w:rPr>
      </w:pPr>
      <w:r>
        <w:rPr>
          <w:rFonts w:hint="eastAsia"/>
          <w:lang w:bidi="en-US"/>
        </w:rPr>
        <w:t>要求投标人必须具有良好信誉和相关实力的技术队伍。</w:t>
      </w:r>
    </w:p>
    <w:p w:rsidR="0010115F" w:rsidRDefault="0010115F" w:rsidP="00DF0888">
      <w:pPr>
        <w:pStyle w:val="aa"/>
        <w:numPr>
          <w:ilvl w:val="0"/>
          <w:numId w:val="14"/>
        </w:numPr>
        <w:ind w:firstLineChars="0"/>
        <w:rPr>
          <w:lang w:bidi="en-US"/>
        </w:rPr>
      </w:pPr>
      <w:r>
        <w:rPr>
          <w:rFonts w:hint="eastAsia"/>
          <w:lang w:bidi="en-US"/>
        </w:rPr>
        <w:t>投标人应本着认真负责态度，组织技术队伍，做好投标的整体方案，并书面提出长期保修、维护、服务以及今后技术支持的措施计划和承诺。</w:t>
      </w:r>
    </w:p>
    <w:p w:rsidR="0010115F" w:rsidRDefault="0010115F" w:rsidP="00DF0888">
      <w:pPr>
        <w:pStyle w:val="aa"/>
        <w:numPr>
          <w:ilvl w:val="0"/>
          <w:numId w:val="14"/>
        </w:numPr>
        <w:ind w:firstLineChars="0"/>
        <w:rPr>
          <w:lang w:bidi="en-US"/>
        </w:rPr>
      </w:pPr>
      <w:r>
        <w:rPr>
          <w:rFonts w:hint="eastAsia"/>
          <w:lang w:bidi="en-US"/>
        </w:rPr>
        <w:t>安装调试在设备到货后</w:t>
      </w:r>
      <w:r>
        <w:rPr>
          <w:lang w:bidi="en-US"/>
        </w:rPr>
        <w:t>5</w:t>
      </w:r>
      <w:r>
        <w:rPr>
          <w:rFonts w:hint="eastAsia"/>
          <w:lang w:bidi="en-US"/>
        </w:rPr>
        <w:t>个工作日内开始进行。</w:t>
      </w:r>
    </w:p>
    <w:p w:rsidR="0010115F" w:rsidRDefault="0010115F" w:rsidP="00DF0888">
      <w:pPr>
        <w:pStyle w:val="aa"/>
        <w:numPr>
          <w:ilvl w:val="0"/>
          <w:numId w:val="14"/>
        </w:numPr>
        <w:ind w:firstLineChars="0"/>
        <w:rPr>
          <w:lang w:bidi="en-US"/>
        </w:rPr>
      </w:pPr>
      <w:r>
        <w:rPr>
          <w:rFonts w:hint="eastAsia"/>
          <w:lang w:bidi="en-US"/>
        </w:rPr>
        <w:t>所有设备均须由投标人送货上门并安装调试。</w:t>
      </w:r>
    </w:p>
    <w:p w:rsidR="0010115F" w:rsidRDefault="0010115F" w:rsidP="00DF0888">
      <w:pPr>
        <w:pStyle w:val="aa"/>
        <w:numPr>
          <w:ilvl w:val="0"/>
          <w:numId w:val="14"/>
        </w:numPr>
        <w:ind w:firstLineChars="0"/>
        <w:rPr>
          <w:lang w:bidi="en-US"/>
        </w:rPr>
      </w:pPr>
      <w:r>
        <w:rPr>
          <w:rFonts w:hint="eastAsia"/>
          <w:lang w:bidi="en-US"/>
        </w:rPr>
        <w:t>自系统安装工作一开始，投标人应允许采购单位的工作人员一起参与系统的安装、测试、诊断及解决遇到的问题等各项工作。</w:t>
      </w:r>
    </w:p>
    <w:p w:rsidR="0010115F" w:rsidRDefault="0010115F" w:rsidP="00DF0888">
      <w:pPr>
        <w:pStyle w:val="aa"/>
        <w:numPr>
          <w:ilvl w:val="0"/>
          <w:numId w:val="14"/>
        </w:numPr>
        <w:ind w:firstLineChars="0"/>
        <w:rPr>
          <w:lang w:bidi="en-US"/>
        </w:rPr>
      </w:pPr>
      <w:r>
        <w:rPr>
          <w:rFonts w:hint="eastAsia"/>
          <w:lang w:bidi="en-US"/>
        </w:rPr>
        <w:t>投标人和产品供货商对提供的产品保证5年的产品技术支持售后服务。</w:t>
      </w:r>
    </w:p>
    <w:p w:rsidR="0010115F" w:rsidRDefault="002248E6" w:rsidP="007F711A">
      <w:pPr>
        <w:pStyle w:val="2"/>
        <w:numPr>
          <w:ilvl w:val="0"/>
          <w:numId w:val="0"/>
        </w:numPr>
        <w:ind w:left="576" w:hanging="576"/>
      </w:pPr>
      <w:r>
        <w:t>4</w:t>
      </w:r>
      <w:r w:rsidR="002C3F1D">
        <w:rPr>
          <w:rFonts w:hint="eastAsia"/>
        </w:rPr>
        <w:t>.2</w:t>
      </w:r>
      <w:r w:rsidR="0010115F">
        <w:t>集成服务</w:t>
      </w:r>
    </w:p>
    <w:p w:rsidR="0010115F" w:rsidRDefault="0010115F" w:rsidP="00DF0888">
      <w:pPr>
        <w:ind w:firstLine="480"/>
      </w:pPr>
      <w:r w:rsidRPr="00DF7D62">
        <w:rPr>
          <w:rFonts w:hint="eastAsia"/>
        </w:rPr>
        <w:t>统筹完成</w:t>
      </w:r>
      <w:r w:rsidR="00F14A8C" w:rsidRPr="00DF7D62">
        <w:rPr>
          <w:rFonts w:hint="eastAsia"/>
        </w:rPr>
        <w:t>现有设备迁移、本项目存储设备的物理安装</w:t>
      </w:r>
      <w:r w:rsidRPr="00DF7D62">
        <w:rPr>
          <w:rFonts w:hint="eastAsia"/>
        </w:rPr>
        <w:t>，包括上架、加电、初始化硬件调测、运行，提供设备安装位置图以及网络规划</w:t>
      </w:r>
      <w:r w:rsidRPr="00DF7D62">
        <w:t>IP和VLAN表，</w:t>
      </w:r>
      <w:r w:rsidR="0089575B" w:rsidRPr="00DF7D62">
        <w:rPr>
          <w:rFonts w:hint="eastAsia"/>
        </w:rPr>
        <w:t>根据需要配备、增补线材，</w:t>
      </w:r>
      <w:r w:rsidRPr="00DF7D62">
        <w:t>并按院方需求完成布线施工，具体工作如下：</w:t>
      </w:r>
    </w:p>
    <w:p w:rsidR="0010115F" w:rsidRPr="00DF0888" w:rsidRDefault="0010115F" w:rsidP="00DF0888">
      <w:pPr>
        <w:ind w:firstLine="480"/>
        <w:rPr>
          <w:rStyle w:val="ac"/>
          <w:i w:val="0"/>
          <w:iCs w:val="0"/>
        </w:rPr>
      </w:pPr>
      <w:r w:rsidRPr="00DF0888">
        <w:t>1）</w:t>
      </w:r>
      <w:r w:rsidRPr="00DF0888">
        <w:rPr>
          <w:rStyle w:val="ac"/>
          <w:i w:val="0"/>
          <w:iCs w:val="0"/>
        </w:rPr>
        <w:t>对中山大学附属第一医院现有网络进行调研，输出完成的设计实施图；</w:t>
      </w:r>
    </w:p>
    <w:p w:rsidR="0010115F" w:rsidRPr="00DF0888" w:rsidRDefault="0010115F" w:rsidP="00DF0888">
      <w:pPr>
        <w:ind w:firstLine="480"/>
        <w:rPr>
          <w:rStyle w:val="ac"/>
          <w:i w:val="0"/>
          <w:iCs w:val="0"/>
        </w:rPr>
      </w:pPr>
      <w:r w:rsidRPr="00DF0888">
        <w:rPr>
          <w:rStyle w:val="ac"/>
          <w:i w:val="0"/>
          <w:iCs w:val="0"/>
        </w:rPr>
        <w:t>2）确认项目实施人员，院方配合人员，列出人员联系名单；</w:t>
      </w:r>
    </w:p>
    <w:p w:rsidR="0010115F" w:rsidRPr="00DF0888" w:rsidRDefault="0010115F" w:rsidP="00DF0888">
      <w:pPr>
        <w:ind w:firstLine="480"/>
        <w:rPr>
          <w:rStyle w:val="ac"/>
          <w:i w:val="0"/>
          <w:iCs w:val="0"/>
        </w:rPr>
      </w:pPr>
      <w:r w:rsidRPr="00DF0888">
        <w:rPr>
          <w:rStyle w:val="ac"/>
          <w:i w:val="0"/>
          <w:iCs w:val="0"/>
        </w:rPr>
        <w:t>3）与院方人员落实方案细节与验收标准，输出实施方案；</w:t>
      </w:r>
    </w:p>
    <w:p w:rsidR="0010115F" w:rsidRPr="00DF0888" w:rsidRDefault="0010115F" w:rsidP="00DF0888">
      <w:pPr>
        <w:ind w:firstLine="480"/>
        <w:rPr>
          <w:rStyle w:val="ac"/>
          <w:i w:val="0"/>
          <w:iCs w:val="0"/>
        </w:rPr>
      </w:pPr>
      <w:r w:rsidRPr="00DF0888">
        <w:rPr>
          <w:rStyle w:val="ac"/>
          <w:i w:val="0"/>
          <w:iCs w:val="0"/>
        </w:rPr>
        <w:t>4）协同院方人员落实验收。</w:t>
      </w:r>
    </w:p>
    <w:p w:rsidR="0010115F" w:rsidRDefault="002248E6" w:rsidP="002248E6">
      <w:pPr>
        <w:pStyle w:val="2"/>
        <w:numPr>
          <w:ilvl w:val="0"/>
          <w:numId w:val="0"/>
        </w:numPr>
        <w:ind w:left="576" w:hanging="576"/>
      </w:pPr>
      <w:r>
        <w:t>4</w:t>
      </w:r>
      <w:r w:rsidR="002C3F1D">
        <w:rPr>
          <w:rFonts w:hint="eastAsia"/>
        </w:rPr>
        <w:t>.3</w:t>
      </w:r>
      <w:r w:rsidR="0010115F">
        <w:t>实施</w:t>
      </w:r>
    </w:p>
    <w:p w:rsidR="0010115F" w:rsidRDefault="0010115F" w:rsidP="00DF0888">
      <w:pPr>
        <w:ind w:firstLine="480"/>
      </w:pPr>
      <w:r>
        <w:rPr>
          <w:rFonts w:hint="eastAsia"/>
        </w:rPr>
        <w:t>开箱和验收检查将在现场进行，设备的数量和质量将逐项验收；</w:t>
      </w:r>
    </w:p>
    <w:p w:rsidR="0010115F" w:rsidRDefault="0010115F" w:rsidP="00DF0888">
      <w:pPr>
        <w:ind w:firstLine="480"/>
      </w:pPr>
      <w:r>
        <w:rPr>
          <w:rFonts w:hint="eastAsia"/>
        </w:rPr>
        <w:t>从到货日起至现场检验为止，用户有权自费派人到目的站观察卸货，参与现场运输以及现场检验；</w:t>
      </w:r>
    </w:p>
    <w:p w:rsidR="0010115F" w:rsidRDefault="0010115F" w:rsidP="00DF0888">
      <w:pPr>
        <w:ind w:firstLine="480"/>
      </w:pPr>
      <w:r>
        <w:rPr>
          <w:rFonts w:hint="eastAsia"/>
        </w:rPr>
        <w:lastRenderedPageBreak/>
        <w:t>现场进行设备上架、上电、检查设备管理系统有无告警并确保网络连通；</w:t>
      </w:r>
    </w:p>
    <w:p w:rsidR="0010115F" w:rsidRDefault="0010115F" w:rsidP="00DF0888">
      <w:pPr>
        <w:ind w:firstLine="480"/>
      </w:pPr>
      <w:r>
        <w:rPr>
          <w:rFonts w:hint="eastAsia"/>
        </w:rPr>
        <w:t>完成集群内设备的综合布线、调测、运行；</w:t>
      </w:r>
    </w:p>
    <w:p w:rsidR="0010115F" w:rsidRDefault="0010115F" w:rsidP="00DF0888">
      <w:pPr>
        <w:ind w:firstLine="480"/>
      </w:pPr>
      <w:r>
        <w:rPr>
          <w:rFonts w:hint="eastAsia"/>
        </w:rPr>
        <w:t>完成高性能计算的集群软件部署并通过软件联调测试。</w:t>
      </w:r>
    </w:p>
    <w:p w:rsidR="0010115F" w:rsidRDefault="002248E6" w:rsidP="002248E6">
      <w:pPr>
        <w:pStyle w:val="2"/>
        <w:numPr>
          <w:ilvl w:val="0"/>
          <w:numId w:val="0"/>
        </w:numPr>
        <w:ind w:left="576" w:hanging="576"/>
      </w:pPr>
      <w:r>
        <w:t>4</w:t>
      </w:r>
      <w:r w:rsidR="002C3F1D">
        <w:rPr>
          <w:rFonts w:hint="eastAsia"/>
        </w:rPr>
        <w:t>.4</w:t>
      </w:r>
      <w:r w:rsidR="0010115F">
        <w:t>整体交付</w:t>
      </w:r>
    </w:p>
    <w:p w:rsidR="0010115F" w:rsidRDefault="0010115F" w:rsidP="00DF0888">
      <w:pPr>
        <w:ind w:firstLine="480"/>
      </w:pPr>
      <w:r>
        <w:rPr>
          <w:rFonts w:hint="eastAsia"/>
        </w:rPr>
        <w:t>基于硬件设备安装上电调测后，对服务器、网络设备以及安全设备进行整体联调，包括模拟单点故障测试、系统测试，测试平台稳定性，同时根据设计需求完成各区域安全策略配置。</w:t>
      </w:r>
    </w:p>
    <w:p w:rsidR="0010115F" w:rsidRDefault="002248E6" w:rsidP="002248E6">
      <w:pPr>
        <w:pStyle w:val="2"/>
        <w:numPr>
          <w:ilvl w:val="0"/>
          <w:numId w:val="0"/>
        </w:numPr>
        <w:ind w:left="576" w:hanging="576"/>
      </w:pPr>
      <w:bookmarkStart w:id="6" w:name="_Toc490911365"/>
      <w:bookmarkStart w:id="7" w:name="_Toc8821930"/>
      <w:bookmarkStart w:id="8" w:name="_Toc484848533"/>
      <w:bookmarkStart w:id="9" w:name="_Toc485037515"/>
      <w:bookmarkStart w:id="10" w:name="_Toc494963183"/>
      <w:bookmarkStart w:id="11" w:name="_Toc484827188"/>
      <w:r>
        <w:t>4</w:t>
      </w:r>
      <w:r w:rsidR="002C3F1D">
        <w:rPr>
          <w:rFonts w:hint="eastAsia"/>
        </w:rPr>
        <w:t>.5</w:t>
      </w:r>
      <w:r w:rsidR="0010115F">
        <w:rPr>
          <w:rFonts w:hint="eastAsia"/>
        </w:rPr>
        <w:t>测试和验收</w:t>
      </w:r>
      <w:bookmarkEnd w:id="6"/>
      <w:bookmarkEnd w:id="7"/>
      <w:bookmarkEnd w:id="8"/>
      <w:bookmarkEnd w:id="9"/>
      <w:bookmarkEnd w:id="10"/>
      <w:bookmarkEnd w:id="11"/>
    </w:p>
    <w:p w:rsidR="0010115F" w:rsidRDefault="0010115F" w:rsidP="00DF0888">
      <w:pPr>
        <w:ind w:firstLine="480"/>
      </w:pPr>
      <w:r>
        <w:rPr>
          <w:rFonts w:hint="eastAsia"/>
        </w:rPr>
        <w:t>投标人应根据所提交的验收方案和实施办法，自行组织设备和人员，并在使用单位监查下现场进行测试和验收。</w:t>
      </w:r>
    </w:p>
    <w:p w:rsidR="0010115F" w:rsidRDefault="002248E6" w:rsidP="002248E6">
      <w:pPr>
        <w:pStyle w:val="2"/>
        <w:numPr>
          <w:ilvl w:val="0"/>
          <w:numId w:val="0"/>
        </w:numPr>
        <w:ind w:left="576" w:hanging="576"/>
      </w:pPr>
      <w:bookmarkStart w:id="12" w:name="_Toc490911366"/>
      <w:bookmarkStart w:id="13" w:name="_Toc484827189"/>
      <w:bookmarkStart w:id="14" w:name="_Toc485037516"/>
      <w:bookmarkStart w:id="15" w:name="_Toc484848534"/>
      <w:bookmarkStart w:id="16" w:name="_Toc494963184"/>
      <w:r>
        <w:t>4</w:t>
      </w:r>
      <w:r w:rsidR="002C3F1D">
        <w:rPr>
          <w:rFonts w:hint="eastAsia"/>
        </w:rPr>
        <w:t>.6</w:t>
      </w:r>
      <w:r w:rsidR="0010115F">
        <w:rPr>
          <w:rFonts w:hint="eastAsia"/>
        </w:rPr>
        <w:t>开箱检验</w:t>
      </w:r>
    </w:p>
    <w:p w:rsidR="0010115F" w:rsidRDefault="0010115F" w:rsidP="00DF0888">
      <w:pPr>
        <w:ind w:firstLine="480"/>
      </w:pPr>
      <w:r>
        <w:t>1）所有设备、器材在开箱时必须完好，无破损。配置与装箱单相符。数量、质量及性能不低于合同要求。</w:t>
      </w:r>
    </w:p>
    <w:p w:rsidR="0010115F" w:rsidRDefault="0010115F" w:rsidP="00DF0888">
      <w:pPr>
        <w:ind w:firstLine="480"/>
      </w:pPr>
      <w:r>
        <w:t>2）拆箱后，投标人应对其全部产品、零件、配件、用户许可证书、资料、介质造册登记，并与装箱单对比，如有出入应立即书面记录，由供货商解决，如影响安装则按合同有关条款处理。登记册作为验收文档之一。</w:t>
      </w:r>
    </w:p>
    <w:p w:rsidR="0010115F" w:rsidRDefault="007F711A" w:rsidP="007F711A">
      <w:pPr>
        <w:pStyle w:val="2"/>
        <w:numPr>
          <w:ilvl w:val="0"/>
          <w:numId w:val="0"/>
        </w:numPr>
        <w:ind w:left="576" w:hanging="576"/>
      </w:pPr>
      <w:r>
        <w:t>4</w:t>
      </w:r>
      <w:r w:rsidR="002C3F1D">
        <w:rPr>
          <w:rFonts w:hint="eastAsia"/>
        </w:rPr>
        <w:t>.7</w:t>
      </w:r>
      <w:r w:rsidR="0010115F">
        <w:rPr>
          <w:rFonts w:hint="eastAsia"/>
        </w:rPr>
        <w:t>系统测试</w:t>
      </w:r>
    </w:p>
    <w:p w:rsidR="0010115F" w:rsidRDefault="0010115F" w:rsidP="00DF0888">
      <w:pPr>
        <w:ind w:firstLine="480"/>
      </w:pPr>
      <w:r>
        <w:rPr>
          <w:rFonts w:hint="eastAsia"/>
        </w:rPr>
        <w:t>系统安装完成后，按照系统要求的基本功能逐一测试。</w:t>
      </w:r>
    </w:p>
    <w:p w:rsidR="0010115F" w:rsidRDefault="0010115F" w:rsidP="00DF0888">
      <w:pPr>
        <w:ind w:firstLine="480"/>
      </w:pPr>
      <w:r>
        <w:t>1）单项测试：单项产品安装完成后，由投标人进行产品自身性能的测试。设备通电测试应单台进行，所有设备通电自</w:t>
      </w:r>
      <w:proofErr w:type="gramStart"/>
      <w:r>
        <w:rPr>
          <w:rFonts w:hint="eastAsia"/>
        </w:rPr>
        <w:t>检正常</w:t>
      </w:r>
      <w:proofErr w:type="gramEnd"/>
      <w:r>
        <w:rPr>
          <w:rFonts w:hint="eastAsia"/>
        </w:rPr>
        <w:t>后，才能相互联结。</w:t>
      </w:r>
    </w:p>
    <w:p w:rsidR="0010115F" w:rsidRDefault="0010115F" w:rsidP="00DF0888">
      <w:pPr>
        <w:ind w:firstLine="480"/>
      </w:pPr>
      <w:r>
        <w:t>2）网络联机测试：网络系统安装完成后，由投标人和设备使用单位对所有采购的产品进行联网运行，并进行相应的联机测试。</w:t>
      </w:r>
    </w:p>
    <w:p w:rsidR="0010115F" w:rsidRDefault="0010115F" w:rsidP="00DF0888">
      <w:pPr>
        <w:ind w:firstLine="480"/>
      </w:pPr>
      <w:r>
        <w:t>3）系统运行正常，联机测试通过。</w:t>
      </w:r>
    </w:p>
    <w:p w:rsidR="0010115F" w:rsidRDefault="0010115F" w:rsidP="00DF0888">
      <w:pPr>
        <w:ind w:firstLine="480"/>
      </w:pPr>
      <w:r>
        <w:t>4</w:t>
      </w:r>
      <w:r>
        <w:rPr>
          <w:rFonts w:hint="eastAsia"/>
        </w:rPr>
        <w:t>）投标人应负责在项目验收时将系统的全部有关产品说明书、原厂家安装手册、技术文</w:t>
      </w:r>
      <w:r>
        <w:rPr>
          <w:rFonts w:hint="eastAsia"/>
        </w:rPr>
        <w:lastRenderedPageBreak/>
        <w:t>件、资料、及安装、验收报告等文档交付设备使用单位。</w:t>
      </w:r>
      <w:bookmarkStart w:id="17" w:name="_Toc484848535"/>
      <w:bookmarkStart w:id="18" w:name="_Toc484827190"/>
      <w:bookmarkStart w:id="19" w:name="_Toc485037517"/>
      <w:bookmarkStart w:id="20" w:name="_Toc490911367"/>
      <w:bookmarkEnd w:id="12"/>
      <w:bookmarkEnd w:id="13"/>
      <w:bookmarkEnd w:id="14"/>
      <w:bookmarkEnd w:id="15"/>
      <w:bookmarkEnd w:id="16"/>
      <w:r>
        <w:t xml:space="preserve">  </w:t>
      </w:r>
      <w:r>
        <w:rPr>
          <w:rFonts w:hint="eastAsia"/>
        </w:rPr>
        <w:t xml:space="preserve">                                                             </w:t>
      </w:r>
    </w:p>
    <w:p w:rsidR="0010115F" w:rsidRDefault="007F711A" w:rsidP="007F711A">
      <w:pPr>
        <w:pStyle w:val="2"/>
        <w:numPr>
          <w:ilvl w:val="0"/>
          <w:numId w:val="0"/>
        </w:numPr>
        <w:ind w:left="576" w:hanging="576"/>
      </w:pPr>
      <w:bookmarkStart w:id="21" w:name="_Toc494963185"/>
      <w:r>
        <w:t>4</w:t>
      </w:r>
      <w:r w:rsidR="002C3F1D">
        <w:rPr>
          <w:rFonts w:hint="eastAsia"/>
        </w:rPr>
        <w:t>.8</w:t>
      </w:r>
      <w:r w:rsidR="0010115F">
        <w:rPr>
          <w:rFonts w:hint="eastAsia"/>
        </w:rPr>
        <w:t>产品验收要求</w:t>
      </w:r>
      <w:bookmarkEnd w:id="17"/>
      <w:bookmarkEnd w:id="18"/>
      <w:bookmarkEnd w:id="19"/>
      <w:bookmarkEnd w:id="20"/>
      <w:bookmarkEnd w:id="21"/>
    </w:p>
    <w:p w:rsidR="0010115F" w:rsidRDefault="0010115F" w:rsidP="00DF0888">
      <w:pPr>
        <w:ind w:firstLine="480"/>
      </w:pPr>
      <w:r>
        <w:t xml:space="preserve">1) </w:t>
      </w:r>
      <w:r>
        <w:rPr>
          <w:rFonts w:hint="eastAsia"/>
        </w:rPr>
        <w:t>要求对全部设备、产品、型号、规格、数量、外型、外观、包装及资料、文件（如装箱单、保修单、随箱介质等）的验收。</w:t>
      </w:r>
    </w:p>
    <w:p w:rsidR="0010115F" w:rsidRDefault="0010115F" w:rsidP="00DF0888">
      <w:pPr>
        <w:ind w:firstLine="480"/>
      </w:pPr>
      <w:r>
        <w:t xml:space="preserve">2) </w:t>
      </w:r>
      <w:r>
        <w:rPr>
          <w:rFonts w:hint="eastAsia"/>
        </w:rPr>
        <w:t>凡列入《中华人民共和国实施强制性产品认证的产品目录》的产品在验收时出具</w:t>
      </w:r>
      <w:r>
        <w:t>CCC认证证书复印件，并以在产品外部加施认证标志作为验收依据之一。</w:t>
      </w:r>
    </w:p>
    <w:p w:rsidR="0010115F" w:rsidRDefault="0010115F" w:rsidP="00DF0888">
      <w:pPr>
        <w:ind w:firstLine="480"/>
      </w:pPr>
      <w:r>
        <w:t xml:space="preserve">3) </w:t>
      </w:r>
      <w:r>
        <w:rPr>
          <w:rFonts w:hint="eastAsia"/>
        </w:rPr>
        <w:t>投标人应负责在项目验收时将系统的全部有关产品说明书、原厂家安装手册、技术文件、资料、及安装、验收报告等文档汇集成册交付设备使用单位和监理单位。</w:t>
      </w:r>
    </w:p>
    <w:p w:rsidR="0010115F" w:rsidRDefault="007F711A" w:rsidP="007F711A">
      <w:pPr>
        <w:pStyle w:val="2"/>
        <w:numPr>
          <w:ilvl w:val="0"/>
          <w:numId w:val="0"/>
        </w:numPr>
        <w:ind w:left="576" w:hanging="576"/>
      </w:pPr>
      <w:bookmarkStart w:id="22" w:name="_Toc8821931"/>
      <w:r>
        <w:t>4</w:t>
      </w:r>
      <w:r w:rsidR="002C3F1D">
        <w:rPr>
          <w:rFonts w:hint="eastAsia"/>
        </w:rPr>
        <w:t>.9</w:t>
      </w:r>
      <w:r w:rsidR="0010115F">
        <w:rPr>
          <w:rFonts w:hint="eastAsia"/>
        </w:rPr>
        <w:t>售后服务要求</w:t>
      </w:r>
      <w:bookmarkEnd w:id="22"/>
    </w:p>
    <w:p w:rsidR="0010115F" w:rsidRDefault="0010115F" w:rsidP="00DF0888">
      <w:pPr>
        <w:ind w:firstLine="480"/>
      </w:pPr>
      <w:r>
        <w:t>1</w:t>
      </w:r>
      <w:r w:rsidR="00DF0888">
        <w:rPr>
          <w:rFonts w:hint="eastAsia"/>
        </w:rPr>
        <w:t>）</w:t>
      </w:r>
      <w:r>
        <w:rPr>
          <w:rFonts w:hint="eastAsia"/>
        </w:rPr>
        <w:t>系统保修期为</w:t>
      </w:r>
      <w:r>
        <w:t>5</w:t>
      </w:r>
      <w:r>
        <w:rPr>
          <w:rFonts w:hint="eastAsia"/>
        </w:rPr>
        <w:t>年，保修期</w:t>
      </w:r>
      <w:proofErr w:type="gramStart"/>
      <w:r>
        <w:rPr>
          <w:rFonts w:hint="eastAsia"/>
        </w:rPr>
        <w:t>自项目最终验收日</w:t>
      </w:r>
      <w:proofErr w:type="gramEnd"/>
      <w:r>
        <w:rPr>
          <w:rFonts w:hint="eastAsia"/>
        </w:rPr>
        <w:t>算起。</w:t>
      </w:r>
    </w:p>
    <w:p w:rsidR="0010115F" w:rsidRDefault="0010115F" w:rsidP="00DF0888">
      <w:pPr>
        <w:ind w:firstLine="480"/>
      </w:pPr>
      <w:r>
        <w:t>2</w:t>
      </w:r>
      <w:r w:rsidR="00DF0888">
        <w:rPr>
          <w:rFonts w:hint="eastAsia"/>
        </w:rPr>
        <w:t>）</w:t>
      </w:r>
      <w:r>
        <w:rPr>
          <w:rFonts w:hint="eastAsia"/>
        </w:rPr>
        <w:t>保修期内，所有软硬件设备的维修均为免费。</w:t>
      </w:r>
    </w:p>
    <w:p w:rsidR="0010115F" w:rsidRDefault="0010115F" w:rsidP="00DF0888">
      <w:pPr>
        <w:ind w:firstLine="480"/>
      </w:pPr>
      <w:r>
        <w:t>3</w:t>
      </w:r>
      <w:r w:rsidR="00DF0888">
        <w:rPr>
          <w:rFonts w:hint="eastAsia"/>
        </w:rPr>
        <w:t>）</w:t>
      </w:r>
      <w:r>
        <w:rPr>
          <w:rFonts w:hint="eastAsia"/>
        </w:rPr>
        <w:t>保修期内，所有设备维修服务均为上门服务，由此产生的费用均不再收取。</w:t>
      </w:r>
    </w:p>
    <w:p w:rsidR="0010115F" w:rsidRDefault="0010115F" w:rsidP="00DF0888">
      <w:pPr>
        <w:ind w:firstLine="480"/>
      </w:pPr>
      <w:r>
        <w:t>4</w:t>
      </w:r>
      <w:r w:rsidR="00DF0888">
        <w:rPr>
          <w:rFonts w:hint="eastAsia"/>
        </w:rPr>
        <w:t>）</w:t>
      </w:r>
      <w:r>
        <w:rPr>
          <w:rFonts w:hint="eastAsia"/>
        </w:rPr>
        <w:t>中标人在保修期内必须保障不少于</w:t>
      </w:r>
      <w:r>
        <w:t>2名经验丰富的运维服务技术人员提供维修和保养、保障服务。</w:t>
      </w:r>
    </w:p>
    <w:p w:rsidR="0010115F" w:rsidRDefault="0010115F" w:rsidP="00DF0888">
      <w:pPr>
        <w:ind w:firstLine="480"/>
      </w:pPr>
      <w:r>
        <w:t>5</w:t>
      </w:r>
      <w:r w:rsidR="00DF0888">
        <w:rPr>
          <w:rFonts w:hint="eastAsia"/>
        </w:rPr>
        <w:t>）</w:t>
      </w:r>
      <w:r>
        <w:rPr>
          <w:rFonts w:hint="eastAsia"/>
        </w:rPr>
        <w:t>中标人在保修期内应提供系统升级方面的技术支持服务</w:t>
      </w:r>
      <w:r>
        <w:t>.</w:t>
      </w:r>
    </w:p>
    <w:p w:rsidR="009A7CA1" w:rsidRPr="001D7DDB" w:rsidRDefault="00DF0888" w:rsidP="001D7DDB">
      <w:pPr>
        <w:wordWrap w:val="0"/>
        <w:ind w:firstLine="560"/>
        <w:jc w:val="right"/>
        <w:rPr>
          <w:sz w:val="28"/>
        </w:rPr>
      </w:pPr>
      <w:r>
        <w:rPr>
          <w:sz w:val="28"/>
        </w:rPr>
        <w:t xml:space="preserve"> </w:t>
      </w:r>
    </w:p>
    <w:sectPr w:rsidR="009A7CA1" w:rsidRPr="001D7DDB" w:rsidSect="005253D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825" w:rsidRDefault="004C6825" w:rsidP="00DF0888">
      <w:pPr>
        <w:spacing w:before="0" w:after="0" w:line="240" w:lineRule="auto"/>
        <w:ind w:firstLine="480"/>
      </w:pPr>
      <w:r>
        <w:separator/>
      </w:r>
    </w:p>
  </w:endnote>
  <w:endnote w:type="continuationSeparator" w:id="0">
    <w:p w:rsidR="004C6825" w:rsidRDefault="004C6825" w:rsidP="00DF0888">
      <w:pPr>
        <w:spacing w:before="0" w:after="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13" w:rsidRDefault="002E031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521741"/>
      <w:docPartObj>
        <w:docPartGallery w:val="Page Numbers (Bottom of Page)"/>
        <w:docPartUnique/>
      </w:docPartObj>
    </w:sdtPr>
    <w:sdtEndPr/>
    <w:sdtContent>
      <w:sdt>
        <w:sdtPr>
          <w:id w:val="-1771921443"/>
          <w:docPartObj>
            <w:docPartGallery w:val="Page Numbers (Top of Page)"/>
            <w:docPartUnique/>
          </w:docPartObj>
        </w:sdtPr>
        <w:sdtEndPr/>
        <w:sdtContent>
          <w:p w:rsidR="005253D7" w:rsidRPr="0050126E" w:rsidRDefault="005253D7" w:rsidP="0048165C">
            <w:pPr>
              <w:pStyle w:val="a5"/>
              <w:ind w:firstLine="360"/>
              <w:jc w:val="center"/>
            </w:pPr>
            <w:r w:rsidRPr="0050126E">
              <w:rPr>
                <w:sz w:val="20"/>
                <w:szCs w:val="20"/>
                <w:lang w:val="zh-CN"/>
              </w:rPr>
              <w:t xml:space="preserve"> </w:t>
            </w:r>
            <w:r w:rsidRPr="0050126E">
              <w:rPr>
                <w:bCs/>
                <w:sz w:val="20"/>
                <w:szCs w:val="20"/>
              </w:rPr>
              <w:fldChar w:fldCharType="begin"/>
            </w:r>
            <w:r w:rsidRPr="0050126E">
              <w:rPr>
                <w:bCs/>
                <w:sz w:val="20"/>
                <w:szCs w:val="20"/>
              </w:rPr>
              <w:instrText>PAGE</w:instrText>
            </w:r>
            <w:r w:rsidRPr="0050126E">
              <w:rPr>
                <w:bCs/>
                <w:sz w:val="20"/>
                <w:szCs w:val="20"/>
              </w:rPr>
              <w:fldChar w:fldCharType="separate"/>
            </w:r>
            <w:r w:rsidR="00BB5598">
              <w:rPr>
                <w:bCs/>
                <w:noProof/>
                <w:sz w:val="20"/>
                <w:szCs w:val="20"/>
              </w:rPr>
              <w:t>2</w:t>
            </w:r>
            <w:r w:rsidRPr="0050126E">
              <w:rPr>
                <w:bCs/>
                <w:sz w:val="20"/>
                <w:szCs w:val="20"/>
              </w:rPr>
              <w:fldChar w:fldCharType="end"/>
            </w:r>
            <w:r w:rsidRPr="0050126E">
              <w:rPr>
                <w:sz w:val="20"/>
                <w:szCs w:val="20"/>
                <w:lang w:val="zh-CN"/>
              </w:rPr>
              <w:t xml:space="preserve"> /</w:t>
            </w:r>
            <w:r>
              <w:rPr>
                <w:bCs/>
                <w:sz w:val="20"/>
                <w:szCs w:val="20"/>
              </w:rPr>
              <w:fldChar w:fldCharType="begin"/>
            </w:r>
            <w:r>
              <w:rPr>
                <w:bCs/>
                <w:sz w:val="20"/>
                <w:szCs w:val="20"/>
              </w:rPr>
              <w:instrText xml:space="preserve"> SECTIONPAGES   \* MERGEFORMAT </w:instrText>
            </w:r>
            <w:r>
              <w:rPr>
                <w:bCs/>
                <w:sz w:val="20"/>
                <w:szCs w:val="20"/>
              </w:rPr>
              <w:fldChar w:fldCharType="separate"/>
            </w:r>
            <w:r w:rsidR="00BB5598">
              <w:rPr>
                <w:bCs/>
                <w:noProof/>
                <w:sz w:val="20"/>
                <w:szCs w:val="20"/>
              </w:rPr>
              <w:t>5</w:t>
            </w:r>
            <w:r>
              <w:rPr>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13" w:rsidRDefault="002E031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825" w:rsidRDefault="004C6825" w:rsidP="00DF0888">
      <w:pPr>
        <w:spacing w:before="0" w:after="0" w:line="240" w:lineRule="auto"/>
        <w:ind w:firstLine="480"/>
      </w:pPr>
      <w:r>
        <w:separator/>
      </w:r>
    </w:p>
  </w:footnote>
  <w:footnote w:type="continuationSeparator" w:id="0">
    <w:p w:rsidR="004C6825" w:rsidRDefault="004C6825" w:rsidP="00DF0888">
      <w:pPr>
        <w:spacing w:before="0" w:after="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13" w:rsidRDefault="002E0313">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13" w:rsidRDefault="002E0313">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13" w:rsidRDefault="002E0313">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1290" w:hanging="864"/>
      </w:pPr>
      <w:rPr>
        <w:rFonts w:ascii="Times New Roman" w:eastAsia="微软雅黑" w:hAnsi="Times New Roman" w:cs="Times New Roman" w:hint="default"/>
        <w:b w:val="0"/>
        <w:bCs w:val="0"/>
        <w:i w:val="0"/>
        <w:iCs w:val="0"/>
        <w:caps w:val="0"/>
        <w:smallCaps w:val="0"/>
        <w:vanish w:val="0"/>
        <w:color w:val="000000"/>
        <w:spacing w:val="0"/>
        <w:position w:val="0"/>
        <w:u w:val="none"/>
        <w:vertAlign w:val="baseline"/>
      </w:rPr>
    </w:lvl>
    <w:lvl w:ilvl="4">
      <w:start w:val="1"/>
      <w:numFmt w:val="decimal"/>
      <w:lvlText w:val="%1.%2.%3.%4.%5"/>
      <w:lvlJc w:val="left"/>
      <w:pPr>
        <w:ind w:left="1008"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356A76"/>
    <w:multiLevelType w:val="hybridMultilevel"/>
    <w:tmpl w:val="691A7182"/>
    <w:lvl w:ilvl="0" w:tplc="0409000F">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076D0970"/>
    <w:multiLevelType w:val="hybridMultilevel"/>
    <w:tmpl w:val="77463B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95076D4"/>
    <w:multiLevelType w:val="hybridMultilevel"/>
    <w:tmpl w:val="D50A9D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FE7113"/>
    <w:multiLevelType w:val="hybridMultilevel"/>
    <w:tmpl w:val="D688AE0E"/>
    <w:lvl w:ilvl="0" w:tplc="824046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F402FC"/>
    <w:multiLevelType w:val="hybridMultilevel"/>
    <w:tmpl w:val="77D6B02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33D428F"/>
    <w:multiLevelType w:val="hybridMultilevel"/>
    <w:tmpl w:val="62BE6DD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7AE1AFE"/>
    <w:multiLevelType w:val="singleLevel"/>
    <w:tmpl w:val="17AE1AFE"/>
    <w:lvl w:ilvl="0">
      <w:start w:val="1"/>
      <w:numFmt w:val="decimal"/>
      <w:suff w:val="nothing"/>
      <w:lvlText w:val="%1、"/>
      <w:lvlJc w:val="left"/>
    </w:lvl>
  </w:abstractNum>
  <w:abstractNum w:abstractNumId="8" w15:restartNumberingAfterBreak="0">
    <w:nsid w:val="19644AB5"/>
    <w:multiLevelType w:val="multilevel"/>
    <w:tmpl w:val="912CDC28"/>
    <w:lvl w:ilvl="0">
      <w:start w:val="1"/>
      <w:numFmt w:val="decimal"/>
      <w:lvlText w:val="%1"/>
      <w:lvlJc w:val="left"/>
      <w:pPr>
        <w:ind w:left="1110" w:hanging="1110"/>
      </w:pPr>
      <w:rPr>
        <w:rFonts w:hint="default"/>
      </w:rPr>
    </w:lvl>
    <w:lvl w:ilvl="1">
      <w:start w:val="1"/>
      <w:numFmt w:val="decimal"/>
      <w:lvlText w:val="%1.%2"/>
      <w:lvlJc w:val="left"/>
      <w:pPr>
        <w:ind w:left="1110" w:hanging="1110"/>
      </w:pPr>
      <w:rPr>
        <w:rFonts w:hint="default"/>
      </w:rPr>
    </w:lvl>
    <w:lvl w:ilvl="2">
      <w:start w:val="1"/>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110" w:hanging="111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EB5803"/>
    <w:multiLevelType w:val="hybridMultilevel"/>
    <w:tmpl w:val="672C818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5741B6C"/>
    <w:multiLevelType w:val="hybridMultilevel"/>
    <w:tmpl w:val="B4C69EEE"/>
    <w:lvl w:ilvl="0" w:tplc="0409000F">
      <w:start w:val="1"/>
      <w:numFmt w:val="decimal"/>
      <w:lvlText w:val="%1."/>
      <w:lvlJc w:val="left"/>
      <w:pPr>
        <w:ind w:left="900" w:hanging="420"/>
      </w:pPr>
      <w:rPr>
        <w:rFonts w:hint="default"/>
        <w:color w:val="auto"/>
      </w:rPr>
    </w:lvl>
    <w:lvl w:ilvl="1" w:tplc="04090003" w:tentative="1">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27CE3DD4"/>
    <w:multiLevelType w:val="multilevel"/>
    <w:tmpl w:val="27CE3DD4"/>
    <w:lvl w:ilvl="0">
      <w:start w:val="1"/>
      <w:numFmt w:val="decimal"/>
      <w:pStyle w:val="HPC1"/>
      <w:isLgl/>
      <w:suff w:val="space"/>
      <w:lvlText w:val="%1、"/>
      <w:lvlJc w:val="left"/>
      <w:pPr>
        <w:ind w:left="0" w:firstLine="0"/>
      </w:pPr>
      <w:rPr>
        <w:rFonts w:ascii="宋体" w:eastAsia="宋体" w:hAnsi="宋体" w:hint="eastAsia"/>
        <w:b/>
        <w:i w:val="0"/>
        <w:iCs w:val="0"/>
        <w:caps w:val="0"/>
        <w:smallCaps w:val="0"/>
        <w:strike w:val="0"/>
        <w:dstrike w:val="0"/>
        <w:outline w:val="0"/>
        <w:shadow w:val="0"/>
        <w:emboss w:val="0"/>
        <w:imprint w:val="0"/>
        <w:vanish w:val="0"/>
        <w:spacing w:val="0"/>
        <w:position w:val="0"/>
        <w:sz w:val="28"/>
        <w:u w:val="none"/>
        <w:vertAlign w:val="baseline"/>
        <w14:ligatures w14:val="none"/>
        <w14:numForm w14:val="default"/>
        <w14:numSpacing w14:val="default"/>
      </w:rPr>
    </w:lvl>
    <w:lvl w:ilvl="1">
      <w:start w:val="1"/>
      <w:numFmt w:val="decimal"/>
      <w:pStyle w:val="HPC2"/>
      <w:isLgl/>
      <w:suff w:val="space"/>
      <w:lvlText w:val="%1.%2"/>
      <w:lvlJc w:val="left"/>
      <w:pPr>
        <w:ind w:left="0" w:firstLine="0"/>
      </w:pPr>
      <w:rPr>
        <w:rFonts w:ascii="宋体" w:eastAsia="宋体" w:hAnsi="宋体" w:hint="eastAsia"/>
        <w:b w:val="0"/>
        <w:bCs w:val="0"/>
        <w:i w:val="0"/>
        <w:iCs w:val="0"/>
        <w:caps w:val="0"/>
        <w:smallCaps w:val="0"/>
        <w:strike w:val="0"/>
        <w:dstrike w:val="0"/>
        <w:outline w:val="0"/>
        <w:shadow w:val="0"/>
        <w:emboss w:val="0"/>
        <w:imprint w:val="0"/>
        <w:vanish w:val="0"/>
        <w:spacing w:val="0"/>
        <w:kern w:val="0"/>
        <w:position w:val="0"/>
        <w:sz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2" w15:restartNumberingAfterBreak="0">
    <w:nsid w:val="2D8E6A13"/>
    <w:multiLevelType w:val="hybridMultilevel"/>
    <w:tmpl w:val="C248CA3C"/>
    <w:lvl w:ilvl="0" w:tplc="23ACE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3D57DC"/>
    <w:multiLevelType w:val="multilevel"/>
    <w:tmpl w:val="C72EB202"/>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14" w15:restartNumberingAfterBreak="0">
    <w:nsid w:val="37185BE4"/>
    <w:multiLevelType w:val="hybridMultilevel"/>
    <w:tmpl w:val="B3682A78"/>
    <w:lvl w:ilvl="0" w:tplc="7D4C68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9F82383"/>
    <w:multiLevelType w:val="multilevel"/>
    <w:tmpl w:val="04090025"/>
    <w:lvl w:ilvl="0">
      <w:start w:val="1"/>
      <w:numFmt w:val="decimal"/>
      <w:pStyle w:val="1"/>
      <w:lvlText w:val="%1"/>
      <w:lvlJc w:val="left"/>
      <w:pPr>
        <w:ind w:left="432" w:hanging="432"/>
      </w:pPr>
      <w:rPr>
        <w:rFonts w:hint="eastAsia"/>
        <w:b/>
        <w:i w:val="0"/>
        <w:sz w:val="36"/>
      </w:rPr>
    </w:lvl>
    <w:lvl w:ilvl="1">
      <w:start w:val="1"/>
      <w:numFmt w:val="decimal"/>
      <w:pStyle w:val="2"/>
      <w:lvlText w:val="%1.%2"/>
      <w:lvlJc w:val="left"/>
      <w:pPr>
        <w:ind w:left="576" w:hanging="576"/>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6" w15:restartNumberingAfterBreak="0">
    <w:nsid w:val="44623522"/>
    <w:multiLevelType w:val="hybridMultilevel"/>
    <w:tmpl w:val="0EAC3300"/>
    <w:lvl w:ilvl="0" w:tplc="0D1C5B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F942539"/>
    <w:multiLevelType w:val="multilevel"/>
    <w:tmpl w:val="4F94253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65CD25CB"/>
    <w:multiLevelType w:val="multilevel"/>
    <w:tmpl w:val="65CD25CB"/>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9" w15:restartNumberingAfterBreak="0">
    <w:nsid w:val="6B601308"/>
    <w:multiLevelType w:val="hybridMultilevel"/>
    <w:tmpl w:val="B5DC4BA4"/>
    <w:lvl w:ilvl="0" w:tplc="17488F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6F60EC"/>
    <w:multiLevelType w:val="singleLevel"/>
    <w:tmpl w:val="6E6F60EC"/>
    <w:lvl w:ilvl="0">
      <w:start w:val="1"/>
      <w:numFmt w:val="decimal"/>
      <w:lvlText w:val="%1)"/>
      <w:legacy w:legacy="1" w:legacySpace="0" w:legacyIndent="425"/>
      <w:lvlJc w:val="left"/>
      <w:pPr>
        <w:ind w:left="847" w:hanging="425"/>
      </w:pPr>
    </w:lvl>
  </w:abstractNum>
  <w:abstractNum w:abstractNumId="21" w15:restartNumberingAfterBreak="0">
    <w:nsid w:val="7400775B"/>
    <w:multiLevelType w:val="hybridMultilevel"/>
    <w:tmpl w:val="691A7182"/>
    <w:lvl w:ilvl="0" w:tplc="0409000F">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8"/>
  </w:num>
  <w:num w:numId="2">
    <w:abstractNumId w:val="0"/>
  </w:num>
  <w:num w:numId="3">
    <w:abstractNumId w:val="17"/>
  </w:num>
  <w:num w:numId="4">
    <w:abstractNumId w:va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
  </w:num>
  <w:num w:numId="8">
    <w:abstractNumId w:val="6"/>
  </w:num>
  <w:num w:numId="9">
    <w:abstractNumId w:val="11"/>
  </w:num>
  <w:num w:numId="10">
    <w:abstractNumId w:val="7"/>
  </w:num>
  <w:num w:numId="11">
    <w:abstractNumId w:val="20"/>
    <w:lvlOverride w:ilvl="0">
      <w:startOverride w:val="1"/>
    </w:lvlOverride>
  </w:num>
  <w:num w:numId="12">
    <w:abstractNumId w:val="9"/>
  </w:num>
  <w:num w:numId="13">
    <w:abstractNumId w:val="3"/>
  </w:num>
  <w:num w:numId="14">
    <w:abstractNumId w:val="5"/>
  </w:num>
  <w:num w:numId="15">
    <w:abstractNumId w:val="15"/>
  </w:num>
  <w:num w:numId="16">
    <w:abstractNumId w:val="15"/>
  </w:num>
  <w:num w:numId="17">
    <w:abstractNumId w:val="15"/>
  </w:num>
  <w:num w:numId="18">
    <w:abstractNumId w:val="15"/>
  </w:num>
  <w:num w:numId="19">
    <w:abstractNumId w:val="19"/>
  </w:num>
  <w:num w:numId="20">
    <w:abstractNumId w:val="12"/>
  </w:num>
  <w:num w:numId="21">
    <w:abstractNumId w:val="4"/>
  </w:num>
  <w:num w:numId="22">
    <w:abstractNumId w:val="15"/>
  </w:num>
  <w:num w:numId="23">
    <w:abstractNumId w:val="10"/>
  </w:num>
  <w:num w:numId="24">
    <w:abstractNumId w:val="1"/>
  </w:num>
  <w:num w:numId="25">
    <w:abstractNumId w:val="16"/>
  </w:num>
  <w:num w:numId="26">
    <w:abstractNumId w:val="14"/>
  </w:num>
  <w:num w:numId="27">
    <w:abstractNumId w:val="21"/>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01F84"/>
    <w:rsid w:val="00024FAA"/>
    <w:rsid w:val="00026C6A"/>
    <w:rsid w:val="000303D8"/>
    <w:rsid w:val="00031431"/>
    <w:rsid w:val="00034C2B"/>
    <w:rsid w:val="00036038"/>
    <w:rsid w:val="0004013D"/>
    <w:rsid w:val="00057EFD"/>
    <w:rsid w:val="00060C5B"/>
    <w:rsid w:val="00080A98"/>
    <w:rsid w:val="000837D1"/>
    <w:rsid w:val="00085596"/>
    <w:rsid w:val="00091781"/>
    <w:rsid w:val="00094837"/>
    <w:rsid w:val="000A6BFF"/>
    <w:rsid w:val="000A7C4C"/>
    <w:rsid w:val="000B3283"/>
    <w:rsid w:val="000B52F6"/>
    <w:rsid w:val="000C32A5"/>
    <w:rsid w:val="000C51B7"/>
    <w:rsid w:val="000F69A8"/>
    <w:rsid w:val="000F712D"/>
    <w:rsid w:val="0010115F"/>
    <w:rsid w:val="0010374E"/>
    <w:rsid w:val="00126C2A"/>
    <w:rsid w:val="00127C4C"/>
    <w:rsid w:val="001715CA"/>
    <w:rsid w:val="00175D54"/>
    <w:rsid w:val="001A5C39"/>
    <w:rsid w:val="001B258A"/>
    <w:rsid w:val="001B7774"/>
    <w:rsid w:val="001C739E"/>
    <w:rsid w:val="001D3CCB"/>
    <w:rsid w:val="001D7DDB"/>
    <w:rsid w:val="001F3C4B"/>
    <w:rsid w:val="00201673"/>
    <w:rsid w:val="00214FBF"/>
    <w:rsid w:val="00216CF7"/>
    <w:rsid w:val="00216EB9"/>
    <w:rsid w:val="00221D32"/>
    <w:rsid w:val="002248E6"/>
    <w:rsid w:val="00247687"/>
    <w:rsid w:val="00267942"/>
    <w:rsid w:val="00275887"/>
    <w:rsid w:val="002B020D"/>
    <w:rsid w:val="002B0219"/>
    <w:rsid w:val="002B2CA1"/>
    <w:rsid w:val="002B3102"/>
    <w:rsid w:val="002B40ED"/>
    <w:rsid w:val="002C3F1D"/>
    <w:rsid w:val="002C62FE"/>
    <w:rsid w:val="002C7C5E"/>
    <w:rsid w:val="002D5D5A"/>
    <w:rsid w:val="002E0313"/>
    <w:rsid w:val="002F13BC"/>
    <w:rsid w:val="002F3DB2"/>
    <w:rsid w:val="00301232"/>
    <w:rsid w:val="0030148D"/>
    <w:rsid w:val="00305B79"/>
    <w:rsid w:val="003440A7"/>
    <w:rsid w:val="003833CB"/>
    <w:rsid w:val="00392420"/>
    <w:rsid w:val="003A3826"/>
    <w:rsid w:val="003B2A0C"/>
    <w:rsid w:val="003B4141"/>
    <w:rsid w:val="003C4DFD"/>
    <w:rsid w:val="003E1133"/>
    <w:rsid w:val="003E47BE"/>
    <w:rsid w:val="003F7916"/>
    <w:rsid w:val="00405FC5"/>
    <w:rsid w:val="00420D93"/>
    <w:rsid w:val="00426234"/>
    <w:rsid w:val="00444EAD"/>
    <w:rsid w:val="0048165C"/>
    <w:rsid w:val="00484847"/>
    <w:rsid w:val="004B14A1"/>
    <w:rsid w:val="004C6825"/>
    <w:rsid w:val="004D4BD8"/>
    <w:rsid w:val="0050126E"/>
    <w:rsid w:val="005079EC"/>
    <w:rsid w:val="005253D7"/>
    <w:rsid w:val="00530CE0"/>
    <w:rsid w:val="005545FB"/>
    <w:rsid w:val="005547EC"/>
    <w:rsid w:val="00566D36"/>
    <w:rsid w:val="00567776"/>
    <w:rsid w:val="00571221"/>
    <w:rsid w:val="00581A2A"/>
    <w:rsid w:val="0059531B"/>
    <w:rsid w:val="00597F60"/>
    <w:rsid w:val="005A413A"/>
    <w:rsid w:val="005B283A"/>
    <w:rsid w:val="005B5130"/>
    <w:rsid w:val="005B52EE"/>
    <w:rsid w:val="005C02ED"/>
    <w:rsid w:val="005C3E88"/>
    <w:rsid w:val="005C4E05"/>
    <w:rsid w:val="005D6CA9"/>
    <w:rsid w:val="005E7867"/>
    <w:rsid w:val="006101AD"/>
    <w:rsid w:val="00611D87"/>
    <w:rsid w:val="00616505"/>
    <w:rsid w:val="0062213C"/>
    <w:rsid w:val="00633F40"/>
    <w:rsid w:val="006549AD"/>
    <w:rsid w:val="0066187B"/>
    <w:rsid w:val="00684D9C"/>
    <w:rsid w:val="0069038F"/>
    <w:rsid w:val="006927A1"/>
    <w:rsid w:val="006A084F"/>
    <w:rsid w:val="006B504D"/>
    <w:rsid w:val="006C7B3C"/>
    <w:rsid w:val="006F354C"/>
    <w:rsid w:val="00703574"/>
    <w:rsid w:val="0070705C"/>
    <w:rsid w:val="007476AB"/>
    <w:rsid w:val="0079551F"/>
    <w:rsid w:val="0079595B"/>
    <w:rsid w:val="007A59EF"/>
    <w:rsid w:val="007B14E3"/>
    <w:rsid w:val="007C17C4"/>
    <w:rsid w:val="007C3288"/>
    <w:rsid w:val="007C59E2"/>
    <w:rsid w:val="007E00D1"/>
    <w:rsid w:val="007F711A"/>
    <w:rsid w:val="00822E5C"/>
    <w:rsid w:val="00823C23"/>
    <w:rsid w:val="0082749A"/>
    <w:rsid w:val="00827801"/>
    <w:rsid w:val="00856939"/>
    <w:rsid w:val="00861CA4"/>
    <w:rsid w:val="008821AC"/>
    <w:rsid w:val="0089575B"/>
    <w:rsid w:val="008A5C15"/>
    <w:rsid w:val="008A7A43"/>
    <w:rsid w:val="008B18F0"/>
    <w:rsid w:val="008B53D2"/>
    <w:rsid w:val="008B71F2"/>
    <w:rsid w:val="008D397F"/>
    <w:rsid w:val="008D693E"/>
    <w:rsid w:val="008E3800"/>
    <w:rsid w:val="009046DB"/>
    <w:rsid w:val="009300D8"/>
    <w:rsid w:val="0096235B"/>
    <w:rsid w:val="00971B88"/>
    <w:rsid w:val="00990BB4"/>
    <w:rsid w:val="0099296F"/>
    <w:rsid w:val="009A7CA1"/>
    <w:rsid w:val="009B4D97"/>
    <w:rsid w:val="009C1CC7"/>
    <w:rsid w:val="009C2AE1"/>
    <w:rsid w:val="009C3116"/>
    <w:rsid w:val="009D7887"/>
    <w:rsid w:val="009F1AC0"/>
    <w:rsid w:val="00A042A6"/>
    <w:rsid w:val="00A11450"/>
    <w:rsid w:val="00A254FF"/>
    <w:rsid w:val="00A351BD"/>
    <w:rsid w:val="00A44756"/>
    <w:rsid w:val="00A47F92"/>
    <w:rsid w:val="00A60633"/>
    <w:rsid w:val="00A624F8"/>
    <w:rsid w:val="00A767C1"/>
    <w:rsid w:val="00A933C7"/>
    <w:rsid w:val="00AA2E97"/>
    <w:rsid w:val="00AA7EB6"/>
    <w:rsid w:val="00AB1F3F"/>
    <w:rsid w:val="00AB477A"/>
    <w:rsid w:val="00AB4A61"/>
    <w:rsid w:val="00AD20E1"/>
    <w:rsid w:val="00B02BC0"/>
    <w:rsid w:val="00B173E1"/>
    <w:rsid w:val="00B5585D"/>
    <w:rsid w:val="00B57292"/>
    <w:rsid w:val="00B82425"/>
    <w:rsid w:val="00B91DDA"/>
    <w:rsid w:val="00BA0C1A"/>
    <w:rsid w:val="00BA3DFC"/>
    <w:rsid w:val="00BB5118"/>
    <w:rsid w:val="00BB5598"/>
    <w:rsid w:val="00BD429F"/>
    <w:rsid w:val="00BD503B"/>
    <w:rsid w:val="00BE06AB"/>
    <w:rsid w:val="00C01E2F"/>
    <w:rsid w:val="00C034E6"/>
    <w:rsid w:val="00C061CB"/>
    <w:rsid w:val="00C15693"/>
    <w:rsid w:val="00C15C06"/>
    <w:rsid w:val="00C32D23"/>
    <w:rsid w:val="00C33764"/>
    <w:rsid w:val="00C45151"/>
    <w:rsid w:val="00C47973"/>
    <w:rsid w:val="00C604EC"/>
    <w:rsid w:val="00C63C28"/>
    <w:rsid w:val="00C85274"/>
    <w:rsid w:val="00CA6970"/>
    <w:rsid w:val="00CA7EF5"/>
    <w:rsid w:val="00CC44A8"/>
    <w:rsid w:val="00CC52D3"/>
    <w:rsid w:val="00CC6236"/>
    <w:rsid w:val="00CC6D73"/>
    <w:rsid w:val="00CD37A1"/>
    <w:rsid w:val="00CD4728"/>
    <w:rsid w:val="00CD6DF9"/>
    <w:rsid w:val="00CF67C8"/>
    <w:rsid w:val="00D07362"/>
    <w:rsid w:val="00D1316A"/>
    <w:rsid w:val="00D440E4"/>
    <w:rsid w:val="00D500F0"/>
    <w:rsid w:val="00D76A10"/>
    <w:rsid w:val="00D91F2D"/>
    <w:rsid w:val="00DA5B99"/>
    <w:rsid w:val="00DC1BC7"/>
    <w:rsid w:val="00DE279F"/>
    <w:rsid w:val="00DE72C8"/>
    <w:rsid w:val="00DF0888"/>
    <w:rsid w:val="00DF34A3"/>
    <w:rsid w:val="00DF7D62"/>
    <w:rsid w:val="00E01270"/>
    <w:rsid w:val="00E102B2"/>
    <w:rsid w:val="00E17B31"/>
    <w:rsid w:val="00E2577E"/>
    <w:rsid w:val="00E26251"/>
    <w:rsid w:val="00E264EF"/>
    <w:rsid w:val="00E508DC"/>
    <w:rsid w:val="00E62225"/>
    <w:rsid w:val="00E625D9"/>
    <w:rsid w:val="00E646EB"/>
    <w:rsid w:val="00E64FE8"/>
    <w:rsid w:val="00E659B1"/>
    <w:rsid w:val="00E70D8B"/>
    <w:rsid w:val="00E72997"/>
    <w:rsid w:val="00E765CF"/>
    <w:rsid w:val="00EA03B7"/>
    <w:rsid w:val="00EA1EE8"/>
    <w:rsid w:val="00EA2F7A"/>
    <w:rsid w:val="00EB1C1C"/>
    <w:rsid w:val="00EE3F3C"/>
    <w:rsid w:val="00EE485F"/>
    <w:rsid w:val="00EF52EC"/>
    <w:rsid w:val="00F116CD"/>
    <w:rsid w:val="00F134ED"/>
    <w:rsid w:val="00F14A8C"/>
    <w:rsid w:val="00F150B6"/>
    <w:rsid w:val="00F302CE"/>
    <w:rsid w:val="00F365CB"/>
    <w:rsid w:val="00F412E1"/>
    <w:rsid w:val="00F53662"/>
    <w:rsid w:val="00F560B7"/>
    <w:rsid w:val="00F73759"/>
    <w:rsid w:val="00F77838"/>
    <w:rsid w:val="00F94770"/>
    <w:rsid w:val="00FA5064"/>
    <w:rsid w:val="00FB1715"/>
    <w:rsid w:val="00FB5782"/>
    <w:rsid w:val="00FC0B70"/>
    <w:rsid w:val="00FC0DC4"/>
    <w:rsid w:val="00FD69FE"/>
    <w:rsid w:val="00FD79BF"/>
    <w:rsid w:val="00FE24AA"/>
    <w:rsid w:val="00FF7482"/>
    <w:rsid w:val="083D07F0"/>
    <w:rsid w:val="10454D03"/>
    <w:rsid w:val="105E3B74"/>
    <w:rsid w:val="15135534"/>
    <w:rsid w:val="15340D8A"/>
    <w:rsid w:val="1BF8455C"/>
    <w:rsid w:val="1C2C4424"/>
    <w:rsid w:val="1C741A39"/>
    <w:rsid w:val="1CD54CE6"/>
    <w:rsid w:val="1D683C4E"/>
    <w:rsid w:val="1DEC38DC"/>
    <w:rsid w:val="1E0274A9"/>
    <w:rsid w:val="1E4218D8"/>
    <w:rsid w:val="2B6D46F9"/>
    <w:rsid w:val="30456175"/>
    <w:rsid w:val="356A1FBE"/>
    <w:rsid w:val="36772279"/>
    <w:rsid w:val="379A17B4"/>
    <w:rsid w:val="39BA5225"/>
    <w:rsid w:val="3C875DAB"/>
    <w:rsid w:val="401011C5"/>
    <w:rsid w:val="411E4DC9"/>
    <w:rsid w:val="434067C1"/>
    <w:rsid w:val="441C3CAC"/>
    <w:rsid w:val="49293FC3"/>
    <w:rsid w:val="568D20C3"/>
    <w:rsid w:val="578F2184"/>
    <w:rsid w:val="61B827D4"/>
    <w:rsid w:val="62592AF8"/>
    <w:rsid w:val="6B0465FC"/>
    <w:rsid w:val="6BBC41CC"/>
    <w:rsid w:val="6E65180A"/>
    <w:rsid w:val="6EAF13B0"/>
    <w:rsid w:val="702A64CF"/>
    <w:rsid w:val="71061E72"/>
    <w:rsid w:val="71283909"/>
    <w:rsid w:val="721E7674"/>
    <w:rsid w:val="748C1930"/>
    <w:rsid w:val="7A3B2499"/>
    <w:rsid w:val="7F1240C8"/>
    <w:rsid w:val="7F531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BA56E"/>
  <w15:chartTrackingRefBased/>
  <w15:docId w15:val="{EF7703FE-5ABE-4C43-B0AA-BDEBD380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888"/>
    <w:pPr>
      <w:widowControl w:val="0"/>
      <w:spacing w:before="120" w:after="120" w:line="360" w:lineRule="auto"/>
      <w:ind w:firstLineChars="200" w:firstLine="420"/>
      <w:jc w:val="both"/>
    </w:pPr>
    <w:rPr>
      <w:rFonts w:ascii="仿宋" w:eastAsia="仿宋" w:hAnsi="仿宋"/>
      <w:kern w:val="2"/>
      <w:sz w:val="24"/>
      <w:szCs w:val="22"/>
    </w:rPr>
  </w:style>
  <w:style w:type="paragraph" w:styleId="1">
    <w:name w:val="heading 1"/>
    <w:basedOn w:val="a"/>
    <w:next w:val="a"/>
    <w:uiPriority w:val="9"/>
    <w:qFormat/>
    <w:rsid w:val="000B3283"/>
    <w:pPr>
      <w:keepNext/>
      <w:keepLines/>
      <w:numPr>
        <w:numId w:val="6"/>
      </w:numPr>
      <w:spacing w:line="240" w:lineRule="auto"/>
      <w:ind w:firstLineChars="0" w:firstLine="0"/>
      <w:jc w:val="left"/>
      <w:outlineLvl w:val="0"/>
    </w:pPr>
    <w:rPr>
      <w:b/>
      <w:bCs/>
      <w:color w:val="1A1A1A"/>
      <w:kern w:val="44"/>
      <w:sz w:val="36"/>
      <w:szCs w:val="36"/>
    </w:rPr>
  </w:style>
  <w:style w:type="paragraph" w:styleId="2">
    <w:name w:val="heading 2"/>
    <w:basedOn w:val="a"/>
    <w:next w:val="a"/>
    <w:uiPriority w:val="9"/>
    <w:qFormat/>
    <w:rsid w:val="000B3283"/>
    <w:pPr>
      <w:keepNext/>
      <w:keepLines/>
      <w:numPr>
        <w:ilvl w:val="1"/>
        <w:numId w:val="6"/>
      </w:numPr>
      <w:spacing w:line="408" w:lineRule="auto"/>
      <w:ind w:firstLineChars="0" w:firstLine="0"/>
      <w:jc w:val="left"/>
      <w:outlineLvl w:val="1"/>
    </w:pPr>
    <w:rPr>
      <w:b/>
      <w:bCs/>
      <w:color w:val="1A1A1A"/>
      <w:sz w:val="32"/>
      <w:szCs w:val="32"/>
    </w:rPr>
  </w:style>
  <w:style w:type="paragraph" w:styleId="3">
    <w:name w:val="heading 3"/>
    <w:basedOn w:val="a"/>
    <w:next w:val="a"/>
    <w:link w:val="30"/>
    <w:uiPriority w:val="9"/>
    <w:qFormat/>
    <w:rsid w:val="00444EAD"/>
    <w:pPr>
      <w:keepNext/>
      <w:keepLines/>
      <w:widowControl/>
      <w:numPr>
        <w:ilvl w:val="2"/>
        <w:numId w:val="6"/>
      </w:numPr>
      <w:spacing w:before="0" w:after="0"/>
      <w:ind w:firstLineChars="0" w:firstLine="0"/>
      <w:jc w:val="left"/>
      <w:outlineLvl w:val="2"/>
    </w:pPr>
    <w:rPr>
      <w:rFonts w:ascii="Times New Roman" w:eastAsia="宋体" w:hAnsi="Times New Roman"/>
      <w:b/>
      <w:bCs/>
      <w:kern w:val="0"/>
      <w:szCs w:val="32"/>
    </w:rPr>
  </w:style>
  <w:style w:type="paragraph" w:styleId="4">
    <w:name w:val="heading 4"/>
    <w:basedOn w:val="a"/>
    <w:next w:val="a"/>
    <w:link w:val="40"/>
    <w:uiPriority w:val="9"/>
    <w:semiHidden/>
    <w:unhideWhenUsed/>
    <w:qFormat/>
    <w:rsid w:val="0082749A"/>
    <w:pPr>
      <w:keepNext/>
      <w:keepLines/>
      <w:numPr>
        <w:ilvl w:val="3"/>
        <w:numId w:val="6"/>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82749A"/>
    <w:pPr>
      <w:keepNext/>
      <w:keepLines/>
      <w:numPr>
        <w:ilvl w:val="4"/>
        <w:numId w:val="6"/>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82749A"/>
    <w:pPr>
      <w:keepNext/>
      <w:keepLines/>
      <w:numPr>
        <w:ilvl w:val="5"/>
        <w:numId w:val="6"/>
      </w:numPr>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0"/>
    <w:uiPriority w:val="9"/>
    <w:semiHidden/>
    <w:unhideWhenUsed/>
    <w:qFormat/>
    <w:rsid w:val="0082749A"/>
    <w:pPr>
      <w:keepNext/>
      <w:keepLines/>
      <w:numPr>
        <w:ilvl w:val="6"/>
        <w:numId w:val="6"/>
      </w:numPr>
      <w:spacing w:before="240" w:after="64" w:line="320" w:lineRule="auto"/>
      <w:outlineLvl w:val="6"/>
    </w:pPr>
    <w:rPr>
      <w:b/>
      <w:bCs/>
      <w:szCs w:val="24"/>
    </w:rPr>
  </w:style>
  <w:style w:type="paragraph" w:styleId="8">
    <w:name w:val="heading 8"/>
    <w:basedOn w:val="a"/>
    <w:next w:val="a"/>
    <w:link w:val="80"/>
    <w:uiPriority w:val="9"/>
    <w:semiHidden/>
    <w:unhideWhenUsed/>
    <w:qFormat/>
    <w:rsid w:val="0082749A"/>
    <w:pPr>
      <w:keepNext/>
      <w:keepLines/>
      <w:numPr>
        <w:ilvl w:val="7"/>
        <w:numId w:val="6"/>
      </w:numPr>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0"/>
    <w:uiPriority w:val="9"/>
    <w:semiHidden/>
    <w:unhideWhenUsed/>
    <w:qFormat/>
    <w:rsid w:val="0082749A"/>
    <w:pPr>
      <w:keepNext/>
      <w:keepLines/>
      <w:numPr>
        <w:ilvl w:val="8"/>
        <w:numId w:val="6"/>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qFormat/>
    <w:rsid w:val="00444EAD"/>
    <w:rPr>
      <w:rFonts w:ascii="Times New Roman" w:hAnsi="Times New Roman"/>
      <w:b/>
      <w:bCs/>
      <w:sz w:val="24"/>
      <w:szCs w:val="32"/>
    </w:rPr>
  </w:style>
  <w:style w:type="paragraph" w:styleId="a3">
    <w:name w:val="Normal Indent"/>
    <w:basedOn w:val="a"/>
    <w:link w:val="a4"/>
    <w:qFormat/>
    <w:pPr>
      <w:spacing w:after="240" w:line="480" w:lineRule="auto"/>
    </w:pPr>
    <w:rPr>
      <w:rFonts w:ascii="宋体" w:hAnsi="宋体"/>
      <w:szCs w:val="30"/>
      <w:lang w:bidi="he-IL"/>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character" w:customStyle="1" w:styleId="a6">
    <w:name w:val="页脚 字符"/>
    <w:basedOn w:val="a0"/>
    <w:link w:val="a5"/>
    <w:uiPriority w:val="99"/>
    <w:qFormat/>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sz w:val="18"/>
      <w:szCs w:val="18"/>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style>
  <w:style w:type="character" w:customStyle="1" w:styleId="ab">
    <w:name w:val="列出段落 字符"/>
    <w:link w:val="aa"/>
    <w:uiPriority w:val="34"/>
    <w:qFormat/>
    <w:locked/>
    <w:rPr>
      <w:kern w:val="2"/>
      <w:sz w:val="21"/>
      <w:szCs w:val="22"/>
    </w:rPr>
  </w:style>
  <w:style w:type="character" w:customStyle="1" w:styleId="p41">
    <w:name w:val="p41"/>
    <w:rPr>
      <w:rFonts w:ascii="宋体" w:eastAsia="宋体" w:hAnsi="宋体" w:cs="宋体"/>
      <w:sz w:val="24"/>
      <w:szCs w:val="24"/>
    </w:rPr>
  </w:style>
  <w:style w:type="paragraph" w:customStyle="1" w:styleId="C">
    <w:name w:val="C正文格式"/>
    <w:basedOn w:val="a"/>
    <w:link w:val="CChar"/>
    <w:qFormat/>
    <w:pPr>
      <w:ind w:firstLine="480"/>
    </w:pPr>
    <w:rPr>
      <w:rFonts w:cs="宋体"/>
      <w:szCs w:val="20"/>
    </w:rPr>
  </w:style>
  <w:style w:type="paragraph" w:customStyle="1" w:styleId="0">
    <w:name w:val="正文_0"/>
    <w:qFormat/>
    <w:rsid w:val="00DF0888"/>
    <w:pPr>
      <w:widowControl w:val="0"/>
      <w:jc w:val="both"/>
    </w:pPr>
    <w:rPr>
      <w:rFonts w:ascii="Times New Roman" w:eastAsia="仿宋" w:hAnsi="Times New Roman"/>
      <w:kern w:val="2"/>
      <w:sz w:val="24"/>
      <w:szCs w:val="24"/>
    </w:rPr>
  </w:style>
  <w:style w:type="paragraph" w:customStyle="1" w:styleId="25">
    <w:name w:val="样式 首行缩进:  2 字符5"/>
    <w:basedOn w:val="0"/>
    <w:link w:val="25Char"/>
    <w:qFormat/>
    <w:rsid w:val="0010115F"/>
    <w:pPr>
      <w:spacing w:before="120" w:line="360" w:lineRule="auto"/>
      <w:ind w:firstLineChars="200" w:firstLine="480"/>
    </w:pPr>
    <w:rPr>
      <w:rFonts w:ascii="Calibri" w:hAnsi="Calibri"/>
      <w:szCs w:val="20"/>
      <w:lang w:val="zh-CN"/>
    </w:rPr>
  </w:style>
  <w:style w:type="character" w:customStyle="1" w:styleId="25Char">
    <w:name w:val="样式 首行缩进:  2 字符5 Char"/>
    <w:link w:val="25"/>
    <w:qFormat/>
    <w:rsid w:val="0010115F"/>
    <w:rPr>
      <w:kern w:val="2"/>
      <w:sz w:val="24"/>
      <w:lang w:val="zh-CN"/>
    </w:rPr>
  </w:style>
  <w:style w:type="character" w:customStyle="1" w:styleId="a4">
    <w:name w:val="正文缩进 字符"/>
    <w:link w:val="a3"/>
    <w:qFormat/>
    <w:rsid w:val="0010115F"/>
    <w:rPr>
      <w:rFonts w:ascii="宋体" w:eastAsia="仿宋" w:hAnsi="宋体"/>
      <w:kern w:val="2"/>
      <w:sz w:val="24"/>
      <w:szCs w:val="30"/>
      <w:lang w:bidi="he-IL"/>
    </w:rPr>
  </w:style>
  <w:style w:type="paragraph" w:customStyle="1" w:styleId="HPC1">
    <w:name w:val="HPC题1"/>
    <w:basedOn w:val="1"/>
    <w:next w:val="a"/>
    <w:qFormat/>
    <w:rsid w:val="008E3800"/>
    <w:pPr>
      <w:numPr>
        <w:numId w:val="9"/>
      </w:numPr>
      <w:tabs>
        <w:tab w:val="left" w:pos="425"/>
      </w:tabs>
      <w:adjustRightInd w:val="0"/>
      <w:snapToGrid w:val="0"/>
      <w:spacing w:before="0" w:after="0"/>
      <w:jc w:val="both"/>
    </w:pPr>
    <w:rPr>
      <w:rFonts w:ascii="微软雅黑" w:eastAsia="宋体" w:hAnsi="微软雅黑" w:cstheme="minorBidi"/>
      <w:color w:val="auto"/>
      <w:sz w:val="28"/>
      <w:szCs w:val="44"/>
    </w:rPr>
  </w:style>
  <w:style w:type="paragraph" w:customStyle="1" w:styleId="HPC2">
    <w:name w:val="HPC题2"/>
    <w:basedOn w:val="HPC1"/>
    <w:next w:val="a"/>
    <w:link w:val="HPC2Char"/>
    <w:qFormat/>
    <w:rsid w:val="0010115F"/>
    <w:pPr>
      <w:numPr>
        <w:ilvl w:val="1"/>
      </w:numPr>
      <w:outlineLvl w:val="1"/>
    </w:pPr>
    <w:rPr>
      <w:sz w:val="30"/>
    </w:rPr>
  </w:style>
  <w:style w:type="character" w:customStyle="1" w:styleId="HPC2Char">
    <w:name w:val="HPC题2 Char"/>
    <w:basedOn w:val="a0"/>
    <w:link w:val="HPC2"/>
    <w:qFormat/>
    <w:locked/>
    <w:rsid w:val="0010115F"/>
    <w:rPr>
      <w:rFonts w:ascii="微软雅黑" w:hAnsi="微软雅黑" w:cstheme="minorBidi"/>
      <w:b/>
      <w:bCs/>
      <w:kern w:val="44"/>
      <w:sz w:val="30"/>
      <w:szCs w:val="44"/>
    </w:rPr>
  </w:style>
  <w:style w:type="paragraph" w:customStyle="1" w:styleId="00">
    <w:name w:val="正文_0_0"/>
    <w:qFormat/>
    <w:rsid w:val="0010115F"/>
    <w:pPr>
      <w:widowControl w:val="0"/>
      <w:jc w:val="both"/>
    </w:pPr>
    <w:rPr>
      <w:kern w:val="2"/>
      <w:sz w:val="21"/>
      <w:szCs w:val="22"/>
    </w:rPr>
  </w:style>
  <w:style w:type="paragraph" w:customStyle="1" w:styleId="20">
    <w:name w:val="正文文本缩进 2_0"/>
    <w:basedOn w:val="a"/>
    <w:qFormat/>
    <w:rsid w:val="0010115F"/>
    <w:pPr>
      <w:spacing w:before="0" w:after="0" w:line="240" w:lineRule="auto"/>
      <w:ind w:firstLineChars="0" w:firstLine="540"/>
    </w:pPr>
    <w:rPr>
      <w:rFonts w:ascii="Times New Roman" w:eastAsia="宋体" w:hAnsi="Times New Roman"/>
      <w:sz w:val="21"/>
      <w:szCs w:val="20"/>
    </w:rPr>
  </w:style>
  <w:style w:type="character" w:customStyle="1" w:styleId="16">
    <w:name w:val="16"/>
    <w:qFormat/>
    <w:rsid w:val="0010115F"/>
    <w:rPr>
      <w:rFonts w:ascii="宋体" w:eastAsia="宋体" w:hAnsi="宋体" w:hint="eastAsia"/>
      <w:color w:val="000000"/>
      <w:sz w:val="24"/>
      <w:szCs w:val="24"/>
    </w:rPr>
  </w:style>
  <w:style w:type="character" w:styleId="ac">
    <w:name w:val="Emphasis"/>
    <w:basedOn w:val="a0"/>
    <w:uiPriority w:val="20"/>
    <w:qFormat/>
    <w:rsid w:val="00DF0888"/>
    <w:rPr>
      <w:i/>
      <w:iCs/>
    </w:rPr>
  </w:style>
  <w:style w:type="paragraph" w:styleId="ad">
    <w:name w:val="Title"/>
    <w:basedOn w:val="a"/>
    <w:next w:val="a"/>
    <w:link w:val="ae"/>
    <w:uiPriority w:val="10"/>
    <w:qFormat/>
    <w:rsid w:val="00305B79"/>
    <w:pPr>
      <w:spacing w:before="240" w:after="60"/>
      <w:jc w:val="center"/>
      <w:outlineLvl w:val="0"/>
    </w:pPr>
    <w:rPr>
      <w:rFonts w:asciiTheme="majorHAnsi" w:eastAsiaTheme="majorEastAsia" w:hAnsiTheme="majorHAnsi" w:cstheme="majorBidi"/>
      <w:b/>
      <w:bCs/>
      <w:sz w:val="32"/>
      <w:szCs w:val="32"/>
    </w:rPr>
  </w:style>
  <w:style w:type="character" w:customStyle="1" w:styleId="ae">
    <w:name w:val="标题 字符"/>
    <w:basedOn w:val="a0"/>
    <w:link w:val="ad"/>
    <w:uiPriority w:val="10"/>
    <w:rsid w:val="00305B79"/>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semiHidden/>
    <w:rsid w:val="0082749A"/>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semiHidden/>
    <w:rsid w:val="0082749A"/>
    <w:rPr>
      <w:rFonts w:ascii="仿宋" w:eastAsia="仿宋" w:hAnsi="仿宋"/>
      <w:b/>
      <w:bCs/>
      <w:kern w:val="2"/>
      <w:sz w:val="28"/>
      <w:szCs w:val="28"/>
    </w:rPr>
  </w:style>
  <w:style w:type="character" w:customStyle="1" w:styleId="60">
    <w:name w:val="标题 6 字符"/>
    <w:basedOn w:val="a0"/>
    <w:link w:val="6"/>
    <w:uiPriority w:val="9"/>
    <w:semiHidden/>
    <w:rsid w:val="0082749A"/>
    <w:rPr>
      <w:rFonts w:asciiTheme="majorHAnsi" w:eastAsiaTheme="majorEastAsia" w:hAnsiTheme="majorHAnsi" w:cstheme="majorBidi"/>
      <w:b/>
      <w:bCs/>
      <w:kern w:val="2"/>
      <w:sz w:val="24"/>
      <w:szCs w:val="24"/>
    </w:rPr>
  </w:style>
  <w:style w:type="character" w:customStyle="1" w:styleId="70">
    <w:name w:val="标题 7 字符"/>
    <w:basedOn w:val="a0"/>
    <w:link w:val="7"/>
    <w:uiPriority w:val="9"/>
    <w:semiHidden/>
    <w:rsid w:val="0082749A"/>
    <w:rPr>
      <w:rFonts w:ascii="仿宋" w:eastAsia="仿宋" w:hAnsi="仿宋"/>
      <w:b/>
      <w:bCs/>
      <w:kern w:val="2"/>
      <w:sz w:val="24"/>
      <w:szCs w:val="24"/>
    </w:rPr>
  </w:style>
  <w:style w:type="character" w:customStyle="1" w:styleId="80">
    <w:name w:val="标题 8 字符"/>
    <w:basedOn w:val="a0"/>
    <w:link w:val="8"/>
    <w:uiPriority w:val="9"/>
    <w:semiHidden/>
    <w:rsid w:val="0082749A"/>
    <w:rPr>
      <w:rFonts w:asciiTheme="majorHAnsi" w:eastAsiaTheme="majorEastAsia" w:hAnsiTheme="majorHAnsi" w:cstheme="majorBidi"/>
      <w:kern w:val="2"/>
      <w:sz w:val="24"/>
      <w:szCs w:val="24"/>
    </w:rPr>
  </w:style>
  <w:style w:type="character" w:customStyle="1" w:styleId="90">
    <w:name w:val="标题 9 字符"/>
    <w:basedOn w:val="a0"/>
    <w:link w:val="9"/>
    <w:uiPriority w:val="9"/>
    <w:semiHidden/>
    <w:rsid w:val="0082749A"/>
    <w:rPr>
      <w:rFonts w:asciiTheme="majorHAnsi" w:eastAsiaTheme="majorEastAsia" w:hAnsiTheme="majorHAnsi" w:cstheme="majorBidi"/>
      <w:kern w:val="2"/>
      <w:sz w:val="21"/>
      <w:szCs w:val="21"/>
    </w:rPr>
  </w:style>
  <w:style w:type="paragraph" w:styleId="af">
    <w:name w:val="Balloon Text"/>
    <w:basedOn w:val="a"/>
    <w:link w:val="af0"/>
    <w:uiPriority w:val="99"/>
    <w:semiHidden/>
    <w:unhideWhenUsed/>
    <w:rsid w:val="00C33764"/>
    <w:pPr>
      <w:spacing w:before="0" w:after="0" w:line="240" w:lineRule="auto"/>
    </w:pPr>
    <w:rPr>
      <w:sz w:val="18"/>
      <w:szCs w:val="18"/>
    </w:rPr>
  </w:style>
  <w:style w:type="character" w:customStyle="1" w:styleId="af0">
    <w:name w:val="批注框文本 字符"/>
    <w:basedOn w:val="a0"/>
    <w:link w:val="af"/>
    <w:uiPriority w:val="99"/>
    <w:semiHidden/>
    <w:rsid w:val="00C33764"/>
    <w:rPr>
      <w:rFonts w:ascii="仿宋" w:eastAsia="仿宋" w:hAnsi="仿宋"/>
      <w:kern w:val="2"/>
      <w:sz w:val="18"/>
      <w:szCs w:val="18"/>
    </w:rPr>
  </w:style>
  <w:style w:type="paragraph" w:customStyle="1" w:styleId="af1">
    <w:name w:val="__正文"/>
    <w:basedOn w:val="a"/>
    <w:link w:val="Char"/>
    <w:qFormat/>
    <w:rsid w:val="007C17C4"/>
    <w:pPr>
      <w:widowControl/>
      <w:spacing w:before="0" w:after="0"/>
      <w:ind w:firstLine="200"/>
      <w:jc w:val="left"/>
    </w:pPr>
    <w:rPr>
      <w:rFonts w:ascii="Times New Roman" w:eastAsia="宋体" w:hAnsi="Times New Roman"/>
      <w:szCs w:val="24"/>
    </w:rPr>
  </w:style>
  <w:style w:type="character" w:customStyle="1" w:styleId="Char">
    <w:name w:val="__正文 Char"/>
    <w:link w:val="af1"/>
    <w:qFormat/>
    <w:rsid w:val="00026C6A"/>
    <w:rPr>
      <w:rFonts w:ascii="Times New Roman" w:hAnsi="Times New Roman"/>
      <w:kern w:val="2"/>
      <w:sz w:val="24"/>
      <w:szCs w:val="24"/>
    </w:rPr>
  </w:style>
  <w:style w:type="character" w:customStyle="1" w:styleId="CChar">
    <w:name w:val="C正文格式 Char"/>
    <w:link w:val="C"/>
    <w:qFormat/>
    <w:rsid w:val="00026C6A"/>
    <w:rPr>
      <w:rFonts w:ascii="仿宋" w:eastAsia="仿宋" w:hAnsi="仿宋" w:cs="宋体"/>
      <w:kern w:val="2"/>
      <w:sz w:val="24"/>
    </w:rPr>
  </w:style>
  <w:style w:type="character" w:styleId="af2">
    <w:name w:val="Strong"/>
    <w:basedOn w:val="a0"/>
    <w:qFormat/>
    <w:rsid w:val="00126C2A"/>
    <w:rPr>
      <w:b/>
    </w:rPr>
  </w:style>
  <w:style w:type="character" w:styleId="af3">
    <w:name w:val="annotation reference"/>
    <w:basedOn w:val="a0"/>
    <w:uiPriority w:val="99"/>
    <w:semiHidden/>
    <w:unhideWhenUsed/>
    <w:rsid w:val="00861CA4"/>
    <w:rPr>
      <w:sz w:val="21"/>
      <w:szCs w:val="21"/>
    </w:rPr>
  </w:style>
  <w:style w:type="paragraph" w:styleId="af4">
    <w:name w:val="annotation text"/>
    <w:basedOn w:val="a"/>
    <w:link w:val="af5"/>
    <w:uiPriority w:val="99"/>
    <w:semiHidden/>
    <w:unhideWhenUsed/>
    <w:rsid w:val="00861CA4"/>
    <w:pPr>
      <w:jc w:val="left"/>
    </w:pPr>
  </w:style>
  <w:style w:type="character" w:customStyle="1" w:styleId="af5">
    <w:name w:val="批注文字 字符"/>
    <w:basedOn w:val="a0"/>
    <w:link w:val="af4"/>
    <w:uiPriority w:val="99"/>
    <w:semiHidden/>
    <w:rsid w:val="00861CA4"/>
    <w:rPr>
      <w:rFonts w:ascii="仿宋" w:eastAsia="仿宋" w:hAnsi="仿宋"/>
      <w:kern w:val="2"/>
      <w:sz w:val="24"/>
      <w:szCs w:val="22"/>
    </w:rPr>
  </w:style>
  <w:style w:type="paragraph" w:styleId="af6">
    <w:name w:val="annotation subject"/>
    <w:basedOn w:val="af4"/>
    <w:next w:val="af4"/>
    <w:link w:val="af7"/>
    <w:uiPriority w:val="99"/>
    <w:semiHidden/>
    <w:unhideWhenUsed/>
    <w:rsid w:val="00861CA4"/>
    <w:rPr>
      <w:b/>
      <w:bCs/>
    </w:rPr>
  </w:style>
  <w:style w:type="character" w:customStyle="1" w:styleId="af7">
    <w:name w:val="批注主题 字符"/>
    <w:basedOn w:val="af5"/>
    <w:link w:val="af6"/>
    <w:uiPriority w:val="99"/>
    <w:semiHidden/>
    <w:rsid w:val="00861CA4"/>
    <w:rPr>
      <w:rFonts w:ascii="仿宋" w:eastAsia="仿宋" w:hAnsi="仿宋"/>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14080">
      <w:bodyDiv w:val="1"/>
      <w:marLeft w:val="0"/>
      <w:marRight w:val="0"/>
      <w:marTop w:val="0"/>
      <w:marBottom w:val="0"/>
      <w:divBdr>
        <w:top w:val="none" w:sz="0" w:space="0" w:color="auto"/>
        <w:left w:val="none" w:sz="0" w:space="0" w:color="auto"/>
        <w:bottom w:val="none" w:sz="0" w:space="0" w:color="auto"/>
        <w:right w:val="none" w:sz="0" w:space="0" w:color="auto"/>
      </w:divBdr>
    </w:div>
    <w:div w:id="403844459">
      <w:bodyDiv w:val="1"/>
      <w:marLeft w:val="0"/>
      <w:marRight w:val="0"/>
      <w:marTop w:val="0"/>
      <w:marBottom w:val="0"/>
      <w:divBdr>
        <w:top w:val="none" w:sz="0" w:space="0" w:color="auto"/>
        <w:left w:val="none" w:sz="0" w:space="0" w:color="auto"/>
        <w:bottom w:val="none" w:sz="0" w:space="0" w:color="auto"/>
        <w:right w:val="none" w:sz="0" w:space="0" w:color="auto"/>
      </w:divBdr>
    </w:div>
    <w:div w:id="481654310">
      <w:bodyDiv w:val="1"/>
      <w:marLeft w:val="0"/>
      <w:marRight w:val="0"/>
      <w:marTop w:val="0"/>
      <w:marBottom w:val="0"/>
      <w:divBdr>
        <w:top w:val="none" w:sz="0" w:space="0" w:color="auto"/>
        <w:left w:val="none" w:sz="0" w:space="0" w:color="auto"/>
        <w:bottom w:val="none" w:sz="0" w:space="0" w:color="auto"/>
        <w:right w:val="none" w:sz="0" w:space="0" w:color="auto"/>
      </w:divBdr>
    </w:div>
    <w:div w:id="828180680">
      <w:bodyDiv w:val="1"/>
      <w:marLeft w:val="0"/>
      <w:marRight w:val="0"/>
      <w:marTop w:val="0"/>
      <w:marBottom w:val="0"/>
      <w:divBdr>
        <w:top w:val="none" w:sz="0" w:space="0" w:color="auto"/>
        <w:left w:val="none" w:sz="0" w:space="0" w:color="auto"/>
        <w:bottom w:val="none" w:sz="0" w:space="0" w:color="auto"/>
        <w:right w:val="none" w:sz="0" w:space="0" w:color="auto"/>
      </w:divBdr>
    </w:div>
    <w:div w:id="865217168">
      <w:bodyDiv w:val="1"/>
      <w:marLeft w:val="0"/>
      <w:marRight w:val="0"/>
      <w:marTop w:val="0"/>
      <w:marBottom w:val="0"/>
      <w:divBdr>
        <w:top w:val="none" w:sz="0" w:space="0" w:color="auto"/>
        <w:left w:val="none" w:sz="0" w:space="0" w:color="auto"/>
        <w:bottom w:val="none" w:sz="0" w:space="0" w:color="auto"/>
        <w:right w:val="none" w:sz="0" w:space="0" w:color="auto"/>
      </w:divBdr>
    </w:div>
    <w:div w:id="871070253">
      <w:bodyDiv w:val="1"/>
      <w:marLeft w:val="0"/>
      <w:marRight w:val="0"/>
      <w:marTop w:val="0"/>
      <w:marBottom w:val="0"/>
      <w:divBdr>
        <w:top w:val="none" w:sz="0" w:space="0" w:color="auto"/>
        <w:left w:val="none" w:sz="0" w:space="0" w:color="auto"/>
        <w:bottom w:val="none" w:sz="0" w:space="0" w:color="auto"/>
        <w:right w:val="none" w:sz="0" w:space="0" w:color="auto"/>
      </w:divBdr>
    </w:div>
    <w:div w:id="1027363946">
      <w:bodyDiv w:val="1"/>
      <w:marLeft w:val="0"/>
      <w:marRight w:val="0"/>
      <w:marTop w:val="0"/>
      <w:marBottom w:val="0"/>
      <w:divBdr>
        <w:top w:val="none" w:sz="0" w:space="0" w:color="auto"/>
        <w:left w:val="none" w:sz="0" w:space="0" w:color="auto"/>
        <w:bottom w:val="none" w:sz="0" w:space="0" w:color="auto"/>
        <w:right w:val="none" w:sz="0" w:space="0" w:color="auto"/>
      </w:divBdr>
    </w:div>
    <w:div w:id="1145120455">
      <w:bodyDiv w:val="1"/>
      <w:marLeft w:val="0"/>
      <w:marRight w:val="0"/>
      <w:marTop w:val="0"/>
      <w:marBottom w:val="0"/>
      <w:divBdr>
        <w:top w:val="none" w:sz="0" w:space="0" w:color="auto"/>
        <w:left w:val="none" w:sz="0" w:space="0" w:color="auto"/>
        <w:bottom w:val="none" w:sz="0" w:space="0" w:color="auto"/>
        <w:right w:val="none" w:sz="0" w:space="0" w:color="auto"/>
      </w:divBdr>
    </w:div>
    <w:div w:id="1232544490">
      <w:bodyDiv w:val="1"/>
      <w:marLeft w:val="0"/>
      <w:marRight w:val="0"/>
      <w:marTop w:val="0"/>
      <w:marBottom w:val="0"/>
      <w:divBdr>
        <w:top w:val="none" w:sz="0" w:space="0" w:color="auto"/>
        <w:left w:val="none" w:sz="0" w:space="0" w:color="auto"/>
        <w:bottom w:val="none" w:sz="0" w:space="0" w:color="auto"/>
        <w:right w:val="none" w:sz="0" w:space="0" w:color="auto"/>
      </w:divBdr>
    </w:div>
    <w:div w:id="1246844023">
      <w:bodyDiv w:val="1"/>
      <w:marLeft w:val="0"/>
      <w:marRight w:val="0"/>
      <w:marTop w:val="0"/>
      <w:marBottom w:val="0"/>
      <w:divBdr>
        <w:top w:val="none" w:sz="0" w:space="0" w:color="auto"/>
        <w:left w:val="none" w:sz="0" w:space="0" w:color="auto"/>
        <w:bottom w:val="none" w:sz="0" w:space="0" w:color="auto"/>
        <w:right w:val="none" w:sz="0" w:space="0" w:color="auto"/>
      </w:divBdr>
    </w:div>
    <w:div w:id="1389497383">
      <w:bodyDiv w:val="1"/>
      <w:marLeft w:val="0"/>
      <w:marRight w:val="0"/>
      <w:marTop w:val="0"/>
      <w:marBottom w:val="0"/>
      <w:divBdr>
        <w:top w:val="none" w:sz="0" w:space="0" w:color="auto"/>
        <w:left w:val="none" w:sz="0" w:space="0" w:color="auto"/>
        <w:bottom w:val="none" w:sz="0" w:space="0" w:color="auto"/>
        <w:right w:val="none" w:sz="0" w:space="0" w:color="auto"/>
      </w:divBdr>
    </w:div>
    <w:div w:id="1534880163">
      <w:bodyDiv w:val="1"/>
      <w:marLeft w:val="0"/>
      <w:marRight w:val="0"/>
      <w:marTop w:val="0"/>
      <w:marBottom w:val="0"/>
      <w:divBdr>
        <w:top w:val="none" w:sz="0" w:space="0" w:color="auto"/>
        <w:left w:val="none" w:sz="0" w:space="0" w:color="auto"/>
        <w:bottom w:val="none" w:sz="0" w:space="0" w:color="auto"/>
        <w:right w:val="none" w:sz="0" w:space="0" w:color="auto"/>
      </w:divBdr>
    </w:div>
    <w:div w:id="1794514998">
      <w:bodyDiv w:val="1"/>
      <w:marLeft w:val="0"/>
      <w:marRight w:val="0"/>
      <w:marTop w:val="0"/>
      <w:marBottom w:val="0"/>
      <w:divBdr>
        <w:top w:val="none" w:sz="0" w:space="0" w:color="auto"/>
        <w:left w:val="none" w:sz="0" w:space="0" w:color="auto"/>
        <w:bottom w:val="none" w:sz="0" w:space="0" w:color="auto"/>
        <w:right w:val="none" w:sz="0" w:space="0" w:color="auto"/>
      </w:divBdr>
    </w:div>
    <w:div w:id="2086683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90CAC-C1E7-403B-B5D3-6C9E1823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410</Words>
  <Characters>2337</Characters>
  <Application>Microsoft Office Word</Application>
  <DocSecurity>0</DocSecurity>
  <Lines>19</Lines>
  <Paragraphs>5</Paragraphs>
  <ScaleCrop>false</ScaleCrop>
  <Company>Microsoft</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Tencent</dc:creator>
  <cp:keywords/>
  <cp:lastModifiedBy>微软用户</cp:lastModifiedBy>
  <cp:revision>32</cp:revision>
  <cp:lastPrinted>2022-10-26T10:11:00Z</cp:lastPrinted>
  <dcterms:created xsi:type="dcterms:W3CDTF">2026-04-23T07:43:00Z</dcterms:created>
  <dcterms:modified xsi:type="dcterms:W3CDTF">2026-06-29T03:13:00Z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BC420EE99B1C47CFB35A21712C18F41D</vt:lpwstr>
  </property>
</Properties>
</file>