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9038" w14:textId="77777777" w:rsidR="001B2CF2" w:rsidRDefault="00B92BF0">
      <w:pPr>
        <w:pStyle w:val="a9"/>
        <w:rPr>
          <w:rFonts w:ascii="宋体" w:eastAsia="宋体" w:hAnsi="宋体"/>
        </w:rPr>
      </w:pPr>
      <w:r>
        <w:rPr>
          <w:rFonts w:ascii="宋体" w:eastAsia="宋体" w:hAnsi="宋体" w:hint="eastAsia"/>
        </w:rPr>
        <w:t>院本部后勤保障外包服务合同</w:t>
      </w:r>
      <w:proofErr w:type="gramStart"/>
      <w:r>
        <w:rPr>
          <w:rFonts w:ascii="宋体" w:eastAsia="宋体" w:hAnsi="宋体" w:hint="eastAsia"/>
        </w:rPr>
        <w:t>纠纷委</w:t>
      </w:r>
      <w:proofErr w:type="gramEnd"/>
      <w:r>
        <w:rPr>
          <w:rFonts w:ascii="宋体" w:eastAsia="宋体" w:hAnsi="宋体" w:hint="eastAsia"/>
        </w:rPr>
        <w:t>外处理法律服务</w:t>
      </w:r>
    </w:p>
    <w:p w14:paraId="6401F067" w14:textId="77777777" w:rsidR="001B2CF2" w:rsidRDefault="00B92BF0">
      <w:pPr>
        <w:pStyle w:val="a9"/>
        <w:rPr>
          <w:rFonts w:ascii="宋体" w:eastAsia="宋体" w:hAnsi="宋体"/>
          <w:sz w:val="21"/>
          <w:szCs w:val="21"/>
        </w:rPr>
      </w:pPr>
      <w:r>
        <w:rPr>
          <w:rFonts w:ascii="宋体" w:eastAsia="宋体" w:hAnsi="宋体" w:hint="eastAsia"/>
        </w:rPr>
        <w:t>采购需求</w:t>
      </w:r>
    </w:p>
    <w:p w14:paraId="3CFDCACF" w14:textId="77777777" w:rsidR="001B2CF2" w:rsidRDefault="00B92BF0">
      <w:pPr>
        <w:pStyle w:val="ds-markdown-paragraph"/>
        <w:numPr>
          <w:ilvl w:val="0"/>
          <w:numId w:val="1"/>
        </w:numPr>
        <w:shd w:val="clear" w:color="auto" w:fill="FFFFFF"/>
        <w:spacing w:before="240" w:beforeAutospacing="0" w:after="240" w:afterAutospacing="0"/>
        <w:rPr>
          <w:rFonts w:cs="Segoe UI"/>
          <w:color w:val="0F1115"/>
          <w:sz w:val="21"/>
          <w:szCs w:val="21"/>
        </w:rPr>
      </w:pPr>
      <w:r>
        <w:rPr>
          <w:rStyle w:val="ab"/>
          <w:rFonts w:cs="Segoe UI"/>
          <w:color w:val="0F1115"/>
          <w:sz w:val="21"/>
          <w:szCs w:val="21"/>
        </w:rPr>
        <w:t>项目</w:t>
      </w:r>
      <w:r>
        <w:rPr>
          <w:rStyle w:val="ab"/>
          <w:rFonts w:cs="Segoe UI" w:hint="eastAsia"/>
          <w:color w:val="0F1115"/>
          <w:sz w:val="21"/>
          <w:szCs w:val="21"/>
        </w:rPr>
        <w:t>概况</w:t>
      </w:r>
    </w:p>
    <w:p w14:paraId="52932B73" w14:textId="77777777" w:rsidR="001B2CF2" w:rsidRDefault="00B92BF0">
      <w:pPr>
        <w:pStyle w:val="ds-markdown-paragraph"/>
        <w:shd w:val="clear" w:color="auto" w:fill="FFFFFF"/>
        <w:spacing w:before="240" w:beforeAutospacing="0" w:after="240" w:afterAutospacing="0"/>
        <w:ind w:firstLineChars="200" w:firstLine="420"/>
        <w:rPr>
          <w:rFonts w:cs="Segoe UI"/>
          <w:color w:val="0F1115"/>
          <w:sz w:val="21"/>
          <w:szCs w:val="21"/>
        </w:rPr>
      </w:pPr>
      <w:r>
        <w:rPr>
          <w:rFonts w:cs="Segoe UI"/>
          <w:color w:val="0F1115"/>
          <w:sz w:val="21"/>
          <w:szCs w:val="21"/>
        </w:rPr>
        <w:t>我单位与</w:t>
      </w:r>
      <w:r>
        <w:rPr>
          <w:rStyle w:val="ab"/>
          <w:rFonts w:cs="Segoe UI"/>
          <w:color w:val="0F1115"/>
          <w:sz w:val="21"/>
          <w:szCs w:val="21"/>
        </w:rPr>
        <w:t>乙方（原告）</w:t>
      </w:r>
      <w:r>
        <w:rPr>
          <w:rFonts w:cs="Segoe UI"/>
          <w:color w:val="0F1115"/>
          <w:sz w:val="21"/>
          <w:szCs w:val="21"/>
        </w:rPr>
        <w:t> </w:t>
      </w:r>
      <w:r>
        <w:rPr>
          <w:rFonts w:cs="Segoe UI"/>
          <w:color w:val="0F1115"/>
          <w:sz w:val="21"/>
          <w:szCs w:val="21"/>
        </w:rPr>
        <w:t>存在合同履行争议，对方已提起诉讼，诉讼标的额约为</w:t>
      </w:r>
      <w:r>
        <w:rPr>
          <w:rStyle w:val="ab"/>
          <w:rFonts w:cs="Segoe UI"/>
          <w:color w:val="0F1115"/>
          <w:sz w:val="21"/>
          <w:szCs w:val="21"/>
        </w:rPr>
        <w:t>人民币</w:t>
      </w:r>
      <w:r>
        <w:rPr>
          <w:rStyle w:val="ab"/>
          <w:rFonts w:cs="Segoe UI"/>
          <w:color w:val="0F1115"/>
          <w:sz w:val="21"/>
          <w:szCs w:val="21"/>
        </w:rPr>
        <w:t>157</w:t>
      </w:r>
      <w:r>
        <w:rPr>
          <w:rStyle w:val="ab"/>
          <w:rFonts w:cs="Segoe UI"/>
          <w:color w:val="0F1115"/>
          <w:sz w:val="21"/>
          <w:szCs w:val="21"/>
        </w:rPr>
        <w:t>万元</w:t>
      </w:r>
      <w:r>
        <w:rPr>
          <w:rFonts w:cs="Segoe UI"/>
          <w:color w:val="0F1115"/>
          <w:sz w:val="21"/>
          <w:szCs w:val="21"/>
        </w:rPr>
        <w:t>。为维护单位合法权益，现需采购专业法律服务，聘请具有丰富诉讼经验的律师事务所代理本案一审（及可能发生的二审）应诉工作。</w:t>
      </w:r>
    </w:p>
    <w:p w14:paraId="050A1FAD" w14:textId="77777777" w:rsidR="001B2CF2" w:rsidRDefault="00B92BF0">
      <w:pPr>
        <w:pStyle w:val="ds-markdown-paragraph"/>
        <w:numPr>
          <w:ilvl w:val="0"/>
          <w:numId w:val="2"/>
        </w:numPr>
        <w:shd w:val="clear" w:color="auto" w:fill="FFFFFF"/>
        <w:spacing w:before="240" w:beforeAutospacing="0" w:after="240" w:afterAutospacing="0"/>
        <w:rPr>
          <w:rFonts w:cs="Segoe UI"/>
          <w:color w:val="0F1115"/>
          <w:sz w:val="21"/>
          <w:szCs w:val="21"/>
        </w:rPr>
      </w:pPr>
      <w:r>
        <w:rPr>
          <w:rStyle w:val="ab"/>
          <w:rFonts w:cs="Segoe UI"/>
          <w:color w:val="0F1115"/>
          <w:sz w:val="21"/>
          <w:szCs w:val="21"/>
        </w:rPr>
        <w:t xml:space="preserve"> </w:t>
      </w:r>
      <w:r>
        <w:rPr>
          <w:rStyle w:val="ab"/>
          <w:rFonts w:cs="Segoe UI"/>
          <w:color w:val="0F1115"/>
          <w:sz w:val="21"/>
          <w:szCs w:val="21"/>
        </w:rPr>
        <w:t>服务范围及内容</w:t>
      </w:r>
    </w:p>
    <w:p w14:paraId="46D93238" w14:textId="77777777" w:rsidR="001B2CF2" w:rsidRDefault="00B92BF0">
      <w:pPr>
        <w:pStyle w:val="ds-markdown-paragraph"/>
        <w:numPr>
          <w:ilvl w:val="0"/>
          <w:numId w:val="3"/>
        </w:numPr>
        <w:shd w:val="clear" w:color="auto" w:fill="FFFFFF"/>
        <w:spacing w:before="240" w:beforeAutospacing="0" w:after="240" w:afterAutospacing="0"/>
        <w:rPr>
          <w:rFonts w:cs="Segoe UI"/>
          <w:color w:val="0F1115"/>
          <w:sz w:val="21"/>
          <w:szCs w:val="21"/>
        </w:rPr>
      </w:pPr>
      <w:r>
        <w:rPr>
          <w:rFonts w:cs="Segoe UI"/>
          <w:color w:val="0F1115"/>
          <w:sz w:val="21"/>
          <w:szCs w:val="21"/>
        </w:rPr>
        <w:t>全面梳理案件事实，收集、整理对我方有利的证据材料，撰写答辩状及质证意见；</w:t>
      </w:r>
    </w:p>
    <w:p w14:paraId="71DF3538" w14:textId="77777777" w:rsidR="001B2CF2" w:rsidRDefault="00B92BF0">
      <w:pPr>
        <w:pStyle w:val="ds-markdown-paragraph"/>
        <w:numPr>
          <w:ilvl w:val="0"/>
          <w:numId w:val="3"/>
        </w:numPr>
        <w:shd w:val="clear" w:color="auto" w:fill="FFFFFF"/>
        <w:spacing w:before="240" w:beforeAutospacing="0" w:after="240" w:afterAutospacing="0"/>
        <w:rPr>
          <w:rFonts w:cs="Segoe UI"/>
          <w:color w:val="0F1115"/>
          <w:sz w:val="21"/>
          <w:szCs w:val="21"/>
        </w:rPr>
      </w:pPr>
      <w:r>
        <w:rPr>
          <w:rFonts w:cs="Segoe UI"/>
          <w:color w:val="0F1115"/>
          <w:sz w:val="21"/>
          <w:szCs w:val="21"/>
        </w:rPr>
        <w:t>针对原告的诉讼请求及证据，制定反制或抗辩策略（包括但不限于时效抗辩、违约因果关系抗辩、损失金额核减等）；</w:t>
      </w:r>
    </w:p>
    <w:p w14:paraId="431D84D0" w14:textId="77777777" w:rsidR="001B2CF2" w:rsidRDefault="00B92BF0">
      <w:pPr>
        <w:pStyle w:val="ds-markdown-paragraph"/>
        <w:numPr>
          <w:ilvl w:val="0"/>
          <w:numId w:val="3"/>
        </w:numPr>
        <w:shd w:val="clear" w:color="auto" w:fill="FFFFFF"/>
        <w:spacing w:before="240" w:beforeAutospacing="0" w:after="240" w:afterAutospacing="0"/>
        <w:rPr>
          <w:rFonts w:cs="Segoe UI"/>
          <w:color w:val="0F1115"/>
          <w:sz w:val="21"/>
          <w:szCs w:val="21"/>
        </w:rPr>
      </w:pPr>
      <w:r>
        <w:rPr>
          <w:rFonts w:cs="Segoe UI"/>
          <w:color w:val="0F1115"/>
          <w:sz w:val="21"/>
          <w:szCs w:val="21"/>
        </w:rPr>
        <w:t>代为出庭应诉，参与法庭调查、辩论及调解程序；</w:t>
      </w:r>
    </w:p>
    <w:p w14:paraId="6690D9C1" w14:textId="77777777" w:rsidR="001B2CF2" w:rsidRDefault="00B92BF0">
      <w:pPr>
        <w:pStyle w:val="ds-markdown-paragraph"/>
        <w:numPr>
          <w:ilvl w:val="0"/>
          <w:numId w:val="3"/>
        </w:numPr>
        <w:shd w:val="clear" w:color="auto" w:fill="FFFFFF"/>
        <w:spacing w:before="240" w:beforeAutospacing="0" w:after="240" w:afterAutospacing="0"/>
        <w:rPr>
          <w:rFonts w:cs="Segoe UI"/>
          <w:color w:val="0F1115"/>
          <w:sz w:val="21"/>
          <w:szCs w:val="21"/>
        </w:rPr>
      </w:pPr>
      <w:r>
        <w:rPr>
          <w:rFonts w:cs="Segoe UI"/>
          <w:color w:val="0F1115"/>
          <w:sz w:val="21"/>
          <w:szCs w:val="21"/>
        </w:rPr>
        <w:t>根据庭审进展出具法律风险评估报告，并提供和解</w:t>
      </w:r>
      <w:r>
        <w:rPr>
          <w:rFonts w:cs="Segoe UI"/>
          <w:color w:val="0F1115"/>
          <w:sz w:val="21"/>
          <w:szCs w:val="21"/>
        </w:rPr>
        <w:t>/</w:t>
      </w:r>
      <w:r>
        <w:rPr>
          <w:rFonts w:cs="Segoe UI"/>
          <w:color w:val="0F1115"/>
          <w:sz w:val="21"/>
          <w:szCs w:val="21"/>
        </w:rPr>
        <w:t>调解谈判支持；</w:t>
      </w:r>
    </w:p>
    <w:p w14:paraId="4B1C3838" w14:textId="77777777" w:rsidR="001B2CF2" w:rsidRDefault="00B92BF0">
      <w:pPr>
        <w:pStyle w:val="ds-markdown-paragraph"/>
        <w:numPr>
          <w:ilvl w:val="0"/>
          <w:numId w:val="3"/>
        </w:numPr>
        <w:shd w:val="clear" w:color="auto" w:fill="FFFFFF"/>
        <w:spacing w:before="240" w:beforeAutospacing="0" w:after="240" w:afterAutospacing="0"/>
        <w:rPr>
          <w:rFonts w:cs="Segoe UI"/>
          <w:color w:val="0F1115"/>
          <w:sz w:val="21"/>
          <w:szCs w:val="21"/>
        </w:rPr>
      </w:pPr>
      <w:r>
        <w:rPr>
          <w:rFonts w:cs="Segoe UI"/>
          <w:color w:val="0F1115"/>
          <w:sz w:val="21"/>
          <w:szCs w:val="21"/>
        </w:rPr>
        <w:t>代收、代发本案相关法律文书</w:t>
      </w:r>
      <w:r>
        <w:rPr>
          <w:rFonts w:cs="Segoe UI" w:hint="eastAsia"/>
          <w:color w:val="0F1115"/>
          <w:sz w:val="21"/>
          <w:szCs w:val="21"/>
        </w:rPr>
        <w:t>；</w:t>
      </w:r>
    </w:p>
    <w:p w14:paraId="57066D30" w14:textId="77777777" w:rsidR="001B2CF2" w:rsidRDefault="00B92BF0">
      <w:pPr>
        <w:pStyle w:val="ds-markdown-paragraph"/>
        <w:numPr>
          <w:ilvl w:val="0"/>
          <w:numId w:val="3"/>
        </w:numPr>
        <w:shd w:val="clear" w:color="auto" w:fill="FFFFFF"/>
        <w:spacing w:before="240" w:beforeAutospacing="0" w:after="240" w:afterAutospacing="0"/>
        <w:rPr>
          <w:rFonts w:cs="Segoe UI"/>
          <w:color w:val="0F1115"/>
          <w:sz w:val="21"/>
          <w:szCs w:val="21"/>
        </w:rPr>
      </w:pPr>
      <w:r>
        <w:rPr>
          <w:rFonts w:cs="Segoe UI" w:hint="eastAsia"/>
          <w:color w:val="0F1115"/>
          <w:sz w:val="21"/>
          <w:szCs w:val="21"/>
        </w:rPr>
        <w:t>有关本次诉讼的其他法律工作。</w:t>
      </w:r>
    </w:p>
    <w:p w14:paraId="3AF2FDAD" w14:textId="77777777" w:rsidR="001B2CF2" w:rsidRDefault="00B92BF0">
      <w:pPr>
        <w:pStyle w:val="ds-markdown-paragraph"/>
        <w:numPr>
          <w:ilvl w:val="0"/>
          <w:numId w:val="2"/>
        </w:numPr>
        <w:shd w:val="clear" w:color="auto" w:fill="FFFFFF"/>
        <w:spacing w:before="240" w:beforeAutospacing="0" w:after="240" w:afterAutospacing="0"/>
        <w:rPr>
          <w:rStyle w:val="ab"/>
          <w:rFonts w:cs="Segoe UI"/>
          <w:color w:val="0F1115"/>
          <w:sz w:val="21"/>
          <w:szCs w:val="21"/>
        </w:rPr>
      </w:pPr>
      <w:r>
        <w:rPr>
          <w:rStyle w:val="ab"/>
          <w:rFonts w:cs="Segoe UI"/>
          <w:color w:val="0F1115"/>
          <w:sz w:val="21"/>
          <w:szCs w:val="21"/>
        </w:rPr>
        <w:t xml:space="preserve"> </w:t>
      </w:r>
      <w:r>
        <w:rPr>
          <w:rStyle w:val="ab"/>
          <w:rFonts w:cs="Segoe UI"/>
          <w:color w:val="0F1115"/>
          <w:sz w:val="21"/>
          <w:szCs w:val="21"/>
        </w:rPr>
        <w:t>供应商资格</w:t>
      </w:r>
      <w:r>
        <w:rPr>
          <w:rStyle w:val="ab"/>
          <w:rFonts w:cs="Segoe UI" w:hint="eastAsia"/>
          <w:color w:val="0F1115"/>
          <w:sz w:val="21"/>
          <w:szCs w:val="21"/>
        </w:rPr>
        <w:t>条件</w:t>
      </w:r>
    </w:p>
    <w:p w14:paraId="017FDE2F" w14:textId="77777777" w:rsidR="001B2CF2" w:rsidRDefault="00B92BF0">
      <w:pPr>
        <w:pStyle w:val="ds-markdown-paragraph"/>
        <w:numPr>
          <w:ilvl w:val="0"/>
          <w:numId w:val="4"/>
        </w:numPr>
        <w:shd w:val="clear" w:color="auto" w:fill="FFFFFF"/>
        <w:spacing w:before="240" w:beforeAutospacing="0" w:after="240" w:afterAutospacing="0"/>
        <w:rPr>
          <w:rFonts w:cs="Segoe UI"/>
          <w:color w:val="0F1115"/>
          <w:sz w:val="21"/>
          <w:szCs w:val="21"/>
        </w:rPr>
      </w:pPr>
      <w:r>
        <w:rPr>
          <w:rFonts w:cs="Segoe UI" w:hint="eastAsia"/>
          <w:color w:val="0F1115"/>
          <w:sz w:val="21"/>
          <w:szCs w:val="21"/>
        </w:rPr>
        <w:t>投标人须具备以下条件：</w:t>
      </w:r>
    </w:p>
    <w:p w14:paraId="7E9816B2" w14:textId="77777777" w:rsidR="001B2CF2" w:rsidRDefault="00B92BF0">
      <w:pPr>
        <w:pStyle w:val="ds-markdown-paragraph"/>
        <w:numPr>
          <w:ilvl w:val="0"/>
          <w:numId w:val="5"/>
        </w:numPr>
        <w:shd w:val="clear" w:color="auto" w:fill="FFFFFF"/>
        <w:spacing w:before="240" w:beforeAutospacing="0" w:after="240" w:afterAutospacing="0"/>
        <w:rPr>
          <w:rFonts w:cs="Segoe UI"/>
          <w:color w:val="0F1115"/>
          <w:sz w:val="21"/>
          <w:szCs w:val="21"/>
        </w:rPr>
      </w:pPr>
      <w:r>
        <w:rPr>
          <w:rFonts w:hint="eastAsia"/>
          <w:sz w:val="21"/>
          <w:szCs w:val="21"/>
        </w:rPr>
        <w:t>具有独立承担民事责任的能力，</w:t>
      </w:r>
      <w:r>
        <w:rPr>
          <w:rFonts w:cs="Segoe UI"/>
          <w:color w:val="0F1115"/>
          <w:sz w:val="21"/>
          <w:szCs w:val="21"/>
        </w:rPr>
        <w:t>具备司法行政部门颁发</w:t>
      </w:r>
      <w:r>
        <w:rPr>
          <w:rFonts w:cs="Segoe UI" w:hint="eastAsia"/>
          <w:color w:val="0F1115"/>
          <w:sz w:val="21"/>
          <w:szCs w:val="21"/>
        </w:rPr>
        <w:t>的《律师事务所执业许可证》（提供证书复印件并加盖投标人公章）</w:t>
      </w:r>
      <w:r>
        <w:rPr>
          <w:rFonts w:cs="Segoe UI"/>
          <w:color w:val="0F1115"/>
          <w:sz w:val="21"/>
          <w:szCs w:val="21"/>
        </w:rPr>
        <w:t>；</w:t>
      </w:r>
    </w:p>
    <w:p w14:paraId="7DC3DA14" w14:textId="77777777" w:rsidR="001B2CF2" w:rsidRDefault="00B92BF0">
      <w:pPr>
        <w:pStyle w:val="ds-markdown-paragraph"/>
        <w:numPr>
          <w:ilvl w:val="0"/>
          <w:numId w:val="5"/>
        </w:numPr>
        <w:shd w:val="clear" w:color="auto" w:fill="FFFFFF"/>
        <w:spacing w:before="240" w:beforeAutospacing="0" w:after="240" w:afterAutospacing="0"/>
        <w:rPr>
          <w:sz w:val="21"/>
          <w:szCs w:val="21"/>
        </w:rPr>
      </w:pPr>
      <w:r>
        <w:rPr>
          <w:rFonts w:hint="eastAsia"/>
          <w:sz w:val="21"/>
          <w:szCs w:val="21"/>
        </w:rPr>
        <w:t>有依法缴纳税收和社会保障资金的良好记录（提供相关证明材料或承诺函）；</w:t>
      </w:r>
    </w:p>
    <w:p w14:paraId="3676243C" w14:textId="77777777" w:rsidR="001B2CF2" w:rsidRDefault="00B92BF0">
      <w:pPr>
        <w:pStyle w:val="ds-markdown-paragraph"/>
        <w:numPr>
          <w:ilvl w:val="0"/>
          <w:numId w:val="5"/>
        </w:numPr>
        <w:shd w:val="clear" w:color="auto" w:fill="FFFFFF"/>
        <w:spacing w:before="240" w:beforeAutospacing="0" w:after="240" w:afterAutospacing="0"/>
        <w:rPr>
          <w:sz w:val="21"/>
          <w:szCs w:val="21"/>
        </w:rPr>
      </w:pPr>
      <w:r>
        <w:rPr>
          <w:rFonts w:hint="eastAsia"/>
          <w:sz w:val="21"/>
          <w:szCs w:val="21"/>
        </w:rPr>
        <w:t>参加本项目采购活动前三年内，未受到司法行政机关的行政处罚或律师协会的处分，在经营活动中没有重大违法记录（重大违法记录是指因违法执业受到刑事处罚或者责令停止执业、吊销许可证、较大数额罚款等行政处罚）（提供相关证明材料或承诺函）；</w:t>
      </w:r>
    </w:p>
    <w:p w14:paraId="72A89CB8" w14:textId="77777777" w:rsidR="001B2CF2" w:rsidRDefault="00B92BF0">
      <w:pPr>
        <w:pStyle w:val="ds-markdown-paragraph"/>
        <w:numPr>
          <w:ilvl w:val="0"/>
          <w:numId w:val="5"/>
        </w:numPr>
        <w:shd w:val="clear" w:color="auto" w:fill="FFFFFF"/>
        <w:spacing w:before="240" w:beforeAutospacing="0" w:after="240" w:afterAutospacing="0"/>
        <w:rPr>
          <w:rFonts w:cs="Segoe UI"/>
          <w:color w:val="0F1115"/>
          <w:sz w:val="21"/>
          <w:szCs w:val="21"/>
        </w:rPr>
      </w:pPr>
      <w:r>
        <w:rPr>
          <w:rFonts w:cs="Segoe UI" w:hint="eastAsia"/>
          <w:color w:val="0F1115"/>
          <w:sz w:val="21"/>
          <w:szCs w:val="21"/>
        </w:rPr>
        <w:t>具有履行合同所必需的设备和专业技术能力，</w:t>
      </w:r>
      <w:r>
        <w:rPr>
          <w:rFonts w:cs="Segoe UI"/>
          <w:color w:val="0F1115"/>
          <w:sz w:val="21"/>
          <w:szCs w:val="21"/>
        </w:rPr>
        <w:t>指派的主办律师须具有</w:t>
      </w:r>
      <w:r>
        <w:rPr>
          <w:rStyle w:val="ab"/>
          <w:rFonts w:cs="Segoe UI"/>
          <w:color w:val="0F1115"/>
          <w:sz w:val="21"/>
          <w:szCs w:val="21"/>
        </w:rPr>
        <w:t>5</w:t>
      </w:r>
      <w:r>
        <w:rPr>
          <w:rStyle w:val="ab"/>
          <w:rFonts w:cs="Segoe UI"/>
          <w:color w:val="0F1115"/>
          <w:sz w:val="21"/>
          <w:szCs w:val="21"/>
        </w:rPr>
        <w:t>年以上</w:t>
      </w:r>
      <w:r>
        <w:rPr>
          <w:rFonts w:cs="Segoe UI"/>
          <w:color w:val="0F1115"/>
          <w:sz w:val="21"/>
          <w:szCs w:val="21"/>
        </w:rPr>
        <w:t>执业经验，且近三年有代理被告方应对高额合同纠纷并取得有利判决的胜诉案例</w:t>
      </w:r>
      <w:r>
        <w:rPr>
          <w:rFonts w:cs="Segoe UI" w:hint="eastAsia"/>
          <w:color w:val="0F1115"/>
          <w:sz w:val="21"/>
          <w:szCs w:val="21"/>
        </w:rPr>
        <w:t>，</w:t>
      </w:r>
      <w:r>
        <w:rPr>
          <w:rFonts w:cs="Segoe UI"/>
          <w:color w:val="0F1115"/>
          <w:sz w:val="21"/>
          <w:szCs w:val="21"/>
        </w:rPr>
        <w:t>熟悉《民法典》合同</w:t>
      </w:r>
      <w:proofErr w:type="gramStart"/>
      <w:r>
        <w:rPr>
          <w:rFonts w:cs="Segoe UI"/>
          <w:color w:val="0F1115"/>
          <w:sz w:val="21"/>
          <w:szCs w:val="21"/>
        </w:rPr>
        <w:t>编及最高院相关</w:t>
      </w:r>
      <w:proofErr w:type="gramEnd"/>
      <w:r>
        <w:rPr>
          <w:rFonts w:cs="Segoe UI"/>
          <w:color w:val="0F1115"/>
          <w:sz w:val="21"/>
          <w:szCs w:val="21"/>
        </w:rPr>
        <w:t>司法解释</w:t>
      </w:r>
      <w:r>
        <w:rPr>
          <w:rFonts w:cs="Segoe UI" w:hint="eastAsia"/>
          <w:color w:val="0F1115"/>
          <w:sz w:val="21"/>
          <w:szCs w:val="21"/>
        </w:rPr>
        <w:t>（提供相关证明材料或承诺函）。</w:t>
      </w:r>
    </w:p>
    <w:p w14:paraId="09F94B49" w14:textId="77777777" w:rsidR="001B2CF2" w:rsidRDefault="00B92BF0">
      <w:pPr>
        <w:pStyle w:val="ds-markdown-paragraph"/>
        <w:numPr>
          <w:ilvl w:val="0"/>
          <w:numId w:val="5"/>
        </w:numPr>
        <w:shd w:val="clear" w:color="auto" w:fill="FFFFFF"/>
        <w:spacing w:before="240" w:beforeAutospacing="0" w:after="240" w:afterAutospacing="0"/>
        <w:rPr>
          <w:rFonts w:cs="Segoe UI"/>
          <w:color w:val="0F1115"/>
          <w:sz w:val="21"/>
          <w:szCs w:val="21"/>
        </w:rPr>
      </w:pPr>
      <w:r>
        <w:rPr>
          <w:rFonts w:cs="Segoe UI" w:hint="eastAsia"/>
          <w:color w:val="0F1115"/>
          <w:sz w:val="21"/>
          <w:szCs w:val="21"/>
        </w:rPr>
        <w:t>投标人未被列入“信用中国”网站（</w:t>
      </w:r>
      <w:r>
        <w:rPr>
          <w:rFonts w:cs="Segoe UI" w:hint="eastAsia"/>
          <w:color w:val="0F1115"/>
          <w:sz w:val="21"/>
          <w:szCs w:val="21"/>
        </w:rPr>
        <w:t>www.creditchina.gov.cn</w:t>
      </w:r>
      <w:r>
        <w:rPr>
          <w:rFonts w:cs="Segoe UI" w:hint="eastAsia"/>
          <w:color w:val="0F1115"/>
          <w:sz w:val="21"/>
          <w:szCs w:val="21"/>
        </w:rPr>
        <w:t>）以下任何记录名单之一：</w:t>
      </w:r>
      <w:r>
        <w:rPr>
          <w:rFonts w:cs="Segoe UI" w:hint="eastAsia"/>
          <w:color w:val="0F1115"/>
          <w:sz w:val="21"/>
          <w:szCs w:val="21"/>
        </w:rPr>
        <w:t>1</w:t>
      </w:r>
      <w:r>
        <w:rPr>
          <w:rFonts w:cs="Segoe UI" w:hint="eastAsia"/>
          <w:color w:val="0F1115"/>
          <w:sz w:val="21"/>
          <w:szCs w:val="21"/>
        </w:rPr>
        <w:t>）失信被执行人；</w:t>
      </w:r>
      <w:r>
        <w:rPr>
          <w:rFonts w:cs="Segoe UI" w:hint="eastAsia"/>
          <w:color w:val="0F1115"/>
          <w:sz w:val="21"/>
          <w:szCs w:val="21"/>
        </w:rPr>
        <w:t>2</w:t>
      </w:r>
      <w:r>
        <w:rPr>
          <w:rFonts w:cs="Segoe UI" w:hint="eastAsia"/>
          <w:color w:val="0F1115"/>
          <w:sz w:val="21"/>
          <w:szCs w:val="21"/>
        </w:rPr>
        <w:t>）重大税收违法失信主体；</w:t>
      </w:r>
      <w:r>
        <w:rPr>
          <w:rFonts w:cs="Segoe UI" w:hint="eastAsia"/>
          <w:color w:val="0F1115"/>
          <w:sz w:val="21"/>
          <w:szCs w:val="21"/>
        </w:rPr>
        <w:t>3</w:t>
      </w:r>
      <w:r>
        <w:rPr>
          <w:rFonts w:cs="Segoe UI" w:hint="eastAsia"/>
          <w:color w:val="0F1115"/>
          <w:sz w:val="21"/>
          <w:szCs w:val="21"/>
        </w:rPr>
        <w:t>）政府采购严重违法失信</w:t>
      </w:r>
      <w:r>
        <w:rPr>
          <w:rFonts w:cs="Segoe UI" w:hint="eastAsia"/>
          <w:color w:val="0F1115"/>
          <w:sz w:val="21"/>
          <w:szCs w:val="21"/>
        </w:rPr>
        <w:lastRenderedPageBreak/>
        <w:t>行为记录名单。以提交报名材料当天在“信用中国”网站查询结果为准。如相关处罚记录已失效，投标人须提供相关证明资料（提供相关证明材料或承诺函）。</w:t>
      </w:r>
    </w:p>
    <w:p w14:paraId="5B16FD68" w14:textId="0329F1B9" w:rsidR="001B2CF2" w:rsidRDefault="00B92BF0">
      <w:pPr>
        <w:pStyle w:val="ds-markdown-paragraph"/>
        <w:numPr>
          <w:ilvl w:val="0"/>
          <w:numId w:val="5"/>
        </w:numPr>
        <w:shd w:val="clear" w:color="auto" w:fill="FFFFFF"/>
        <w:spacing w:before="240" w:beforeAutospacing="0" w:after="240" w:afterAutospacing="0"/>
        <w:rPr>
          <w:rFonts w:cs="Segoe UI"/>
          <w:color w:val="0F1115"/>
          <w:sz w:val="21"/>
          <w:szCs w:val="21"/>
        </w:rPr>
      </w:pPr>
      <w:r>
        <w:rPr>
          <w:rFonts w:cs="Segoe UI" w:hint="eastAsia"/>
          <w:color w:val="0F1115"/>
          <w:sz w:val="21"/>
          <w:szCs w:val="21"/>
        </w:rPr>
        <w:t>本项目不接受联合体参加投标，不允许转包和分包</w:t>
      </w:r>
      <w:r w:rsidR="00901E57">
        <w:rPr>
          <w:rFonts w:cs="Segoe UI" w:hint="eastAsia"/>
          <w:color w:val="0F1115"/>
          <w:sz w:val="21"/>
          <w:szCs w:val="21"/>
        </w:rPr>
        <w:t>。</w:t>
      </w:r>
    </w:p>
    <w:p w14:paraId="158EF477" w14:textId="77777777" w:rsidR="001B2CF2" w:rsidRDefault="00B92BF0">
      <w:pPr>
        <w:pStyle w:val="ds-markdown-paragraph"/>
        <w:numPr>
          <w:ilvl w:val="0"/>
          <w:numId w:val="2"/>
        </w:numPr>
        <w:shd w:val="clear" w:color="auto" w:fill="FFFFFF"/>
        <w:spacing w:before="240" w:beforeAutospacing="0" w:after="240" w:afterAutospacing="0"/>
        <w:rPr>
          <w:rStyle w:val="ab"/>
          <w:sz w:val="21"/>
          <w:szCs w:val="21"/>
        </w:rPr>
      </w:pPr>
      <w:r>
        <w:rPr>
          <w:rStyle w:val="ab"/>
          <w:rFonts w:cs="Segoe UI"/>
          <w:color w:val="0F1115"/>
          <w:sz w:val="21"/>
          <w:szCs w:val="21"/>
        </w:rPr>
        <w:t>报价要求及评选标准</w:t>
      </w:r>
    </w:p>
    <w:p w14:paraId="71F106EF" w14:textId="77777777" w:rsidR="001B2CF2" w:rsidRDefault="00B92BF0">
      <w:pPr>
        <w:pStyle w:val="ds-markdown-paragraph"/>
        <w:numPr>
          <w:ilvl w:val="0"/>
          <w:numId w:val="6"/>
        </w:numPr>
        <w:shd w:val="clear" w:color="auto" w:fill="FFFFFF"/>
        <w:spacing w:after="120" w:afterAutospacing="0"/>
        <w:rPr>
          <w:rFonts w:cs="Segoe UI"/>
          <w:color w:val="0F1115"/>
          <w:sz w:val="21"/>
          <w:szCs w:val="21"/>
        </w:rPr>
      </w:pPr>
      <w:r>
        <w:rPr>
          <w:rStyle w:val="ab"/>
          <w:rFonts w:cs="Segoe UI"/>
          <w:color w:val="0F1115"/>
          <w:sz w:val="21"/>
          <w:szCs w:val="21"/>
        </w:rPr>
        <w:t>报价方式：</w:t>
      </w:r>
      <w:r>
        <w:rPr>
          <w:rFonts w:cs="Segoe UI"/>
          <w:color w:val="0F1115"/>
          <w:sz w:val="21"/>
          <w:szCs w:val="21"/>
        </w:rPr>
        <w:t> </w:t>
      </w:r>
      <w:r>
        <w:rPr>
          <w:rFonts w:cs="Segoe UI"/>
          <w:color w:val="0F1115"/>
          <w:sz w:val="21"/>
          <w:szCs w:val="21"/>
        </w:rPr>
        <w:t>采取</w:t>
      </w:r>
      <w:r>
        <w:rPr>
          <w:rFonts w:cs="Segoe UI" w:hint="eastAsia"/>
          <w:color w:val="0F1115"/>
          <w:sz w:val="21"/>
          <w:szCs w:val="21"/>
        </w:rPr>
        <w:t>固定报价</w:t>
      </w:r>
      <w:r>
        <w:rPr>
          <w:rFonts w:cs="Segoe UI"/>
          <w:color w:val="0F1115"/>
          <w:sz w:val="21"/>
          <w:szCs w:val="21"/>
        </w:rPr>
        <w:t>模式</w:t>
      </w:r>
      <w:r>
        <w:rPr>
          <w:rFonts w:cs="Segoe UI" w:hint="eastAsia"/>
          <w:color w:val="0F1115"/>
          <w:sz w:val="21"/>
          <w:szCs w:val="21"/>
        </w:rPr>
        <w:t>（一审报价</w:t>
      </w:r>
      <w:r>
        <w:rPr>
          <w:rFonts w:cs="Segoe UI" w:hint="eastAsia"/>
          <w:color w:val="0F1115"/>
          <w:sz w:val="21"/>
          <w:szCs w:val="21"/>
        </w:rPr>
        <w:t>+</w:t>
      </w:r>
      <w:r>
        <w:rPr>
          <w:rFonts w:cs="Segoe UI" w:hint="eastAsia"/>
          <w:color w:val="0F1115"/>
          <w:sz w:val="21"/>
          <w:szCs w:val="21"/>
        </w:rPr>
        <w:t>二审报价）</w:t>
      </w:r>
      <w:r>
        <w:rPr>
          <w:rFonts w:cs="Segoe UI"/>
          <w:color w:val="0F1115"/>
          <w:sz w:val="21"/>
          <w:szCs w:val="21"/>
        </w:rPr>
        <w:t>。</w:t>
      </w:r>
      <w:r>
        <w:rPr>
          <w:rFonts w:cs="Segoe UI" w:hint="eastAsia"/>
          <w:color w:val="0F1115"/>
          <w:sz w:val="21"/>
          <w:szCs w:val="21"/>
        </w:rPr>
        <w:t>一审报价不超过</w:t>
      </w:r>
      <w:r>
        <w:rPr>
          <w:rFonts w:cs="Segoe UI" w:hint="eastAsia"/>
          <w:color w:val="0F1115"/>
          <w:sz w:val="21"/>
          <w:szCs w:val="21"/>
        </w:rPr>
        <w:t>5</w:t>
      </w:r>
      <w:r>
        <w:rPr>
          <w:rFonts w:cs="Segoe UI" w:hint="eastAsia"/>
          <w:color w:val="0F1115"/>
          <w:sz w:val="21"/>
          <w:szCs w:val="21"/>
        </w:rPr>
        <w:t>万元；二审报价不超过</w:t>
      </w:r>
      <w:r>
        <w:rPr>
          <w:rFonts w:cs="Segoe UI" w:hint="eastAsia"/>
          <w:color w:val="0F1115"/>
          <w:sz w:val="21"/>
          <w:szCs w:val="21"/>
        </w:rPr>
        <w:t>3</w:t>
      </w:r>
      <w:r>
        <w:rPr>
          <w:rFonts w:cs="Segoe UI" w:hint="eastAsia"/>
          <w:color w:val="0F1115"/>
          <w:sz w:val="21"/>
          <w:szCs w:val="21"/>
        </w:rPr>
        <w:t>万元</w:t>
      </w:r>
      <w:r>
        <w:rPr>
          <w:rFonts w:cs="Segoe UI"/>
          <w:color w:val="0F1115"/>
          <w:sz w:val="21"/>
          <w:szCs w:val="21"/>
        </w:rPr>
        <w:t>；</w:t>
      </w:r>
      <w:bookmarkStart w:id="0" w:name="_GoBack"/>
      <w:bookmarkEnd w:id="0"/>
    </w:p>
    <w:p w14:paraId="348CCFBC" w14:textId="77777777" w:rsidR="001B2CF2" w:rsidRDefault="00B92BF0">
      <w:pPr>
        <w:pStyle w:val="ds-markdown-paragraph"/>
        <w:numPr>
          <w:ilvl w:val="0"/>
          <w:numId w:val="6"/>
        </w:numPr>
        <w:shd w:val="clear" w:color="auto" w:fill="FFFFFF"/>
        <w:spacing w:after="120" w:afterAutospacing="0"/>
        <w:rPr>
          <w:rFonts w:cs="Segoe UI"/>
          <w:color w:val="0F1115"/>
          <w:sz w:val="21"/>
          <w:szCs w:val="21"/>
        </w:rPr>
      </w:pPr>
      <w:r>
        <w:rPr>
          <w:rStyle w:val="ab"/>
          <w:rFonts w:cs="Segoe UI"/>
          <w:color w:val="0F1115"/>
          <w:sz w:val="21"/>
          <w:szCs w:val="21"/>
        </w:rPr>
        <w:t>评选标准：</w:t>
      </w:r>
      <w:r>
        <w:rPr>
          <w:rFonts w:cs="Segoe UI"/>
          <w:color w:val="0F1115"/>
          <w:sz w:val="21"/>
          <w:szCs w:val="21"/>
        </w:rPr>
        <w:t> </w:t>
      </w:r>
      <w:r>
        <w:rPr>
          <w:rFonts w:cs="Segoe UI"/>
          <w:color w:val="0F1115"/>
          <w:sz w:val="21"/>
          <w:szCs w:val="21"/>
        </w:rPr>
        <w:t>综合</w:t>
      </w:r>
      <w:proofErr w:type="gramStart"/>
      <w:r>
        <w:rPr>
          <w:rFonts w:cs="Segoe UI"/>
          <w:color w:val="0F1115"/>
          <w:sz w:val="21"/>
          <w:szCs w:val="21"/>
        </w:rPr>
        <w:t>考量</w:t>
      </w:r>
      <w:proofErr w:type="gramEnd"/>
      <w:r>
        <w:rPr>
          <w:rFonts w:cs="Segoe UI"/>
          <w:color w:val="0F1115"/>
          <w:sz w:val="21"/>
          <w:szCs w:val="21"/>
        </w:rPr>
        <w:t>律所资质、主办律师</w:t>
      </w:r>
      <w:r>
        <w:rPr>
          <w:rFonts w:cs="Segoe UI"/>
          <w:color w:val="0F1115"/>
          <w:sz w:val="21"/>
          <w:szCs w:val="21"/>
        </w:rPr>
        <w:t>过往同类案件胜诉率、代理方案可行性及报价合理性。</w:t>
      </w:r>
    </w:p>
    <w:p w14:paraId="286431E3" w14:textId="77777777" w:rsidR="001B2CF2" w:rsidRDefault="00B92BF0">
      <w:pPr>
        <w:pStyle w:val="ds-markdown-paragraph"/>
        <w:numPr>
          <w:ilvl w:val="0"/>
          <w:numId w:val="2"/>
        </w:numPr>
        <w:shd w:val="clear" w:color="auto" w:fill="FFFFFF"/>
        <w:spacing w:before="240" w:beforeAutospacing="0" w:after="240" w:afterAutospacing="0"/>
        <w:rPr>
          <w:rStyle w:val="ab"/>
        </w:rPr>
      </w:pPr>
      <w:r>
        <w:rPr>
          <w:rStyle w:val="ab"/>
          <w:rFonts w:cs="Segoe UI" w:hint="eastAsia"/>
          <w:color w:val="0F1115"/>
          <w:sz w:val="21"/>
          <w:szCs w:val="21"/>
        </w:rPr>
        <w:t>支付方式</w:t>
      </w:r>
    </w:p>
    <w:p w14:paraId="74ED62EA" w14:textId="77777777" w:rsidR="001B2CF2" w:rsidRDefault="00B92BF0">
      <w:pPr>
        <w:pStyle w:val="ds-markdown-paragraph"/>
        <w:numPr>
          <w:ilvl w:val="0"/>
          <w:numId w:val="7"/>
        </w:numPr>
        <w:shd w:val="clear" w:color="auto" w:fill="FFFFFF"/>
        <w:spacing w:before="240" w:beforeAutospacing="0" w:after="240" w:afterAutospacing="0"/>
        <w:rPr>
          <w:rFonts w:cs="Segoe UI"/>
          <w:bCs/>
          <w:color w:val="0F1115"/>
          <w:sz w:val="21"/>
          <w:szCs w:val="21"/>
        </w:rPr>
      </w:pPr>
      <w:r>
        <w:rPr>
          <w:rFonts w:cs="Segoe UI" w:hint="eastAsia"/>
          <w:bCs/>
          <w:color w:val="0F1115"/>
          <w:sz w:val="21"/>
          <w:szCs w:val="21"/>
        </w:rPr>
        <w:t>签订合同后或采购人采购完成后支付一审部分的</w:t>
      </w:r>
      <w:r>
        <w:rPr>
          <w:rFonts w:cs="Segoe UI" w:hint="eastAsia"/>
          <w:bCs/>
          <w:color w:val="0F1115"/>
          <w:sz w:val="21"/>
          <w:szCs w:val="21"/>
        </w:rPr>
        <w:t>5</w:t>
      </w:r>
      <w:r>
        <w:rPr>
          <w:rFonts w:cs="Segoe UI"/>
          <w:bCs/>
          <w:color w:val="0F1115"/>
          <w:sz w:val="21"/>
          <w:szCs w:val="21"/>
        </w:rPr>
        <w:t>0%</w:t>
      </w:r>
      <w:r>
        <w:rPr>
          <w:rFonts w:cs="Segoe UI"/>
          <w:bCs/>
          <w:color w:val="0F1115"/>
          <w:sz w:val="21"/>
          <w:szCs w:val="21"/>
        </w:rPr>
        <w:t>，</w:t>
      </w:r>
      <w:r>
        <w:rPr>
          <w:rFonts w:cs="Segoe UI" w:hint="eastAsia"/>
          <w:bCs/>
          <w:color w:val="0F1115"/>
          <w:sz w:val="21"/>
          <w:szCs w:val="21"/>
        </w:rPr>
        <w:t>一审判决执行后支付一审部分剩余</w:t>
      </w:r>
      <w:r>
        <w:rPr>
          <w:rFonts w:cs="Segoe UI" w:hint="eastAsia"/>
          <w:bCs/>
          <w:color w:val="0F1115"/>
          <w:sz w:val="21"/>
          <w:szCs w:val="21"/>
        </w:rPr>
        <w:t>5</w:t>
      </w:r>
      <w:r>
        <w:rPr>
          <w:rFonts w:cs="Segoe UI"/>
          <w:bCs/>
          <w:color w:val="0F1115"/>
          <w:sz w:val="21"/>
          <w:szCs w:val="21"/>
        </w:rPr>
        <w:t>0%</w:t>
      </w:r>
      <w:r>
        <w:rPr>
          <w:rFonts w:cs="Segoe UI"/>
          <w:bCs/>
          <w:color w:val="0F1115"/>
          <w:sz w:val="21"/>
          <w:szCs w:val="21"/>
        </w:rPr>
        <w:t>；</w:t>
      </w:r>
    </w:p>
    <w:p w14:paraId="6C75B716" w14:textId="77777777" w:rsidR="001B2CF2" w:rsidRDefault="00B92BF0">
      <w:pPr>
        <w:pStyle w:val="ds-markdown-paragraph"/>
        <w:numPr>
          <w:ilvl w:val="0"/>
          <w:numId w:val="7"/>
        </w:numPr>
        <w:shd w:val="clear" w:color="auto" w:fill="FFFFFF"/>
        <w:spacing w:before="240" w:beforeAutospacing="0" w:after="240" w:afterAutospacing="0"/>
        <w:rPr>
          <w:rFonts w:cs="Segoe UI"/>
          <w:bCs/>
          <w:color w:val="0F1115"/>
          <w:sz w:val="21"/>
          <w:szCs w:val="21"/>
        </w:rPr>
      </w:pPr>
      <w:r>
        <w:rPr>
          <w:rFonts w:cs="Segoe UI" w:hint="eastAsia"/>
          <w:bCs/>
          <w:color w:val="0F1115"/>
          <w:sz w:val="21"/>
          <w:szCs w:val="21"/>
        </w:rPr>
        <w:t>如案件进入二审，二审判决执行后支付二审部分的</w:t>
      </w:r>
      <w:r>
        <w:rPr>
          <w:rFonts w:cs="Segoe UI" w:hint="eastAsia"/>
          <w:bCs/>
          <w:color w:val="0F1115"/>
          <w:sz w:val="21"/>
          <w:szCs w:val="21"/>
        </w:rPr>
        <w:t>1</w:t>
      </w:r>
      <w:r>
        <w:rPr>
          <w:rFonts w:cs="Segoe UI"/>
          <w:bCs/>
          <w:color w:val="0F1115"/>
          <w:sz w:val="21"/>
          <w:szCs w:val="21"/>
        </w:rPr>
        <w:t>00%</w:t>
      </w:r>
      <w:r>
        <w:rPr>
          <w:rFonts w:cs="Segoe UI" w:hint="eastAsia"/>
          <w:bCs/>
          <w:color w:val="0F1115"/>
          <w:sz w:val="21"/>
          <w:szCs w:val="21"/>
        </w:rPr>
        <w:t>。</w:t>
      </w:r>
    </w:p>
    <w:sectPr w:rsidR="001B2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default"/>
    <w:sig w:usb0="E0002EFF" w:usb1="C0007843" w:usb2="00000009" w:usb3="00000000" w:csb0="4000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64D5"/>
    <w:multiLevelType w:val="multilevel"/>
    <w:tmpl w:val="07C364D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1B601B8"/>
    <w:multiLevelType w:val="multilevel"/>
    <w:tmpl w:val="51B601B8"/>
    <w:lvl w:ilvl="0">
      <w:start w:val="1"/>
      <w:numFmt w:val="japaneseCounting"/>
      <w:lvlText w:val="%1、"/>
      <w:lvlJc w:val="left"/>
      <w:pPr>
        <w:ind w:left="600" w:hanging="60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6E04A4"/>
    <w:multiLevelType w:val="multilevel"/>
    <w:tmpl w:val="686E04A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6B2831C2"/>
    <w:multiLevelType w:val="multilevel"/>
    <w:tmpl w:val="6B2831C2"/>
    <w:lvl w:ilvl="0">
      <w:start w:val="1"/>
      <w:numFmt w:val="decimal"/>
      <w:lvlText w:val="%1."/>
      <w:lvlJc w:val="left"/>
      <w:pPr>
        <w:tabs>
          <w:tab w:val="left" w:pos="720"/>
        </w:tabs>
        <w:ind w:left="720" w:hanging="360"/>
      </w:pPr>
    </w:lvl>
    <w:lvl w:ilvl="1">
      <w:start w:val="1"/>
      <w:numFmt w:val="decimal"/>
      <w:lvlText w:val="（%2）"/>
      <w:lvlJc w:val="left"/>
      <w:pPr>
        <w:ind w:left="1800" w:hanging="720"/>
      </w:pPr>
      <w:rPr>
        <w:rFonts w:ascii="宋体" w:hAnsi="宋体" w:cs="宋体" w:hint="default"/>
        <w:color w:val="auto"/>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2E632A4"/>
    <w:multiLevelType w:val="multilevel"/>
    <w:tmpl w:val="72E632A4"/>
    <w:lvl w:ilvl="0">
      <w:start w:val="1"/>
      <w:numFmt w:val="decimal"/>
      <w:lvlText w:val="%1."/>
      <w:lvlJc w:val="left"/>
      <w:pPr>
        <w:tabs>
          <w:tab w:val="left" w:pos="720"/>
        </w:tabs>
        <w:ind w:left="720" w:hanging="360"/>
      </w:pPr>
    </w:lvl>
    <w:lvl w:ilvl="1">
      <w:start w:val="1"/>
      <w:numFmt w:val="decimal"/>
      <w:lvlText w:val="（%2）"/>
      <w:lvlJc w:val="left"/>
      <w:pPr>
        <w:ind w:left="1800" w:hanging="720"/>
      </w:pPr>
      <w:rPr>
        <w:rFonts w:ascii="宋体" w:hAnsi="宋体" w:cs="宋体" w:hint="default"/>
        <w:color w:val="auto"/>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9381C3B"/>
    <w:multiLevelType w:val="multilevel"/>
    <w:tmpl w:val="79381C3B"/>
    <w:lvl w:ilvl="0">
      <w:start w:val="1"/>
      <w:numFmt w:val="decimal"/>
      <w:lvlText w:val="（%1）"/>
      <w:lvlJc w:val="left"/>
      <w:pPr>
        <w:ind w:left="720" w:hanging="720"/>
      </w:pPr>
      <w:rPr>
        <w:rFonts w:ascii="Segoe UI" w:hAnsi="Segoe UI" w:cs="Segoe UI" w:hint="default"/>
        <w:color w:val="0F1115"/>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8642E1"/>
    <w:multiLevelType w:val="multilevel"/>
    <w:tmpl w:val="7D8642E1"/>
    <w:lvl w:ilvl="0">
      <w:start w:val="2"/>
      <w:numFmt w:val="japaneseCounting"/>
      <w:lvlText w:val="%1、"/>
      <w:lvlJc w:val="left"/>
      <w:pPr>
        <w:ind w:left="720" w:hanging="720"/>
      </w:pPr>
      <w:rPr>
        <w:rFonts w:hint="default"/>
        <w:b/>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C7"/>
    <w:rsid w:val="0004010F"/>
    <w:rsid w:val="00041EC4"/>
    <w:rsid w:val="00054894"/>
    <w:rsid w:val="00063413"/>
    <w:rsid w:val="000A3FCF"/>
    <w:rsid w:val="000B0810"/>
    <w:rsid w:val="000D1A00"/>
    <w:rsid w:val="00166E7A"/>
    <w:rsid w:val="0018656E"/>
    <w:rsid w:val="001940EC"/>
    <w:rsid w:val="001A1E2B"/>
    <w:rsid w:val="001B2CF2"/>
    <w:rsid w:val="00220452"/>
    <w:rsid w:val="00272A97"/>
    <w:rsid w:val="00281630"/>
    <w:rsid w:val="00291792"/>
    <w:rsid w:val="002C4EA4"/>
    <w:rsid w:val="002D28BE"/>
    <w:rsid w:val="002F58B7"/>
    <w:rsid w:val="003032C7"/>
    <w:rsid w:val="003A3797"/>
    <w:rsid w:val="003A5C94"/>
    <w:rsid w:val="003E094A"/>
    <w:rsid w:val="00401780"/>
    <w:rsid w:val="00434396"/>
    <w:rsid w:val="00477FBF"/>
    <w:rsid w:val="00482803"/>
    <w:rsid w:val="004A1CBA"/>
    <w:rsid w:val="004E179D"/>
    <w:rsid w:val="005058C6"/>
    <w:rsid w:val="005332CB"/>
    <w:rsid w:val="0056667D"/>
    <w:rsid w:val="0056799C"/>
    <w:rsid w:val="0057109E"/>
    <w:rsid w:val="005710BA"/>
    <w:rsid w:val="005A2828"/>
    <w:rsid w:val="005E63D1"/>
    <w:rsid w:val="00620B77"/>
    <w:rsid w:val="006667CA"/>
    <w:rsid w:val="00691AEF"/>
    <w:rsid w:val="0069344D"/>
    <w:rsid w:val="006A6148"/>
    <w:rsid w:val="007768A8"/>
    <w:rsid w:val="007A77F3"/>
    <w:rsid w:val="007B39E6"/>
    <w:rsid w:val="007C2E6F"/>
    <w:rsid w:val="007C399C"/>
    <w:rsid w:val="0080657F"/>
    <w:rsid w:val="008155FA"/>
    <w:rsid w:val="00851DC7"/>
    <w:rsid w:val="0086204C"/>
    <w:rsid w:val="008802F2"/>
    <w:rsid w:val="00882F9A"/>
    <w:rsid w:val="00892712"/>
    <w:rsid w:val="008A4B51"/>
    <w:rsid w:val="00901E57"/>
    <w:rsid w:val="00913A73"/>
    <w:rsid w:val="009339D9"/>
    <w:rsid w:val="0097024A"/>
    <w:rsid w:val="009869B7"/>
    <w:rsid w:val="009C2E8F"/>
    <w:rsid w:val="009E25D2"/>
    <w:rsid w:val="009E4A47"/>
    <w:rsid w:val="009E5B7A"/>
    <w:rsid w:val="00A3029D"/>
    <w:rsid w:val="00A32B11"/>
    <w:rsid w:val="00AC7AB4"/>
    <w:rsid w:val="00AF3846"/>
    <w:rsid w:val="00B11FA9"/>
    <w:rsid w:val="00B14017"/>
    <w:rsid w:val="00B15D1B"/>
    <w:rsid w:val="00B8523A"/>
    <w:rsid w:val="00B92BF0"/>
    <w:rsid w:val="00BA32A0"/>
    <w:rsid w:val="00BA7C3F"/>
    <w:rsid w:val="00BE3763"/>
    <w:rsid w:val="00BF7F2A"/>
    <w:rsid w:val="00C13E52"/>
    <w:rsid w:val="00C52E70"/>
    <w:rsid w:val="00C575DB"/>
    <w:rsid w:val="00C661CD"/>
    <w:rsid w:val="00C90274"/>
    <w:rsid w:val="00C90FCC"/>
    <w:rsid w:val="00CC0632"/>
    <w:rsid w:val="00CF38D1"/>
    <w:rsid w:val="00CF60D4"/>
    <w:rsid w:val="00D11F61"/>
    <w:rsid w:val="00D67218"/>
    <w:rsid w:val="00D93F2F"/>
    <w:rsid w:val="00DA5BCA"/>
    <w:rsid w:val="00DE4EC0"/>
    <w:rsid w:val="00E36B07"/>
    <w:rsid w:val="00E4048B"/>
    <w:rsid w:val="00E46F87"/>
    <w:rsid w:val="00E745B5"/>
    <w:rsid w:val="00EC4B82"/>
    <w:rsid w:val="00EC53DF"/>
    <w:rsid w:val="00F23B72"/>
    <w:rsid w:val="00F75454"/>
    <w:rsid w:val="00F90AA1"/>
    <w:rsid w:val="00FB2D75"/>
    <w:rsid w:val="00FE5DD3"/>
    <w:rsid w:val="00FF3ADA"/>
    <w:rsid w:val="6E15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D804D-1216-453D-BEF6-E417B379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pPr>
    <w:rPr>
      <w:rFonts w:ascii="宋体" w:eastAsia="宋体" w:hAnsi="宋体" w:cs="宋体"/>
      <w:kern w:val="0"/>
      <w:sz w:val="27"/>
      <w:szCs w:val="27"/>
      <w:lang w:eastAsia="en-US"/>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spacing w:before="240" w:after="60" w:line="312" w:lineRule="auto"/>
      <w:jc w:val="center"/>
      <w:outlineLvl w:val="1"/>
    </w:pPr>
    <w:rPr>
      <w:b/>
      <w:bCs/>
      <w:kern w:val="28"/>
      <w:sz w:val="32"/>
      <w:szCs w:val="32"/>
    </w:rPr>
  </w:style>
  <w:style w:type="character" w:styleId="ab">
    <w:name w:val="Strong"/>
    <w:basedOn w:val="a0"/>
    <w:uiPriority w:val="22"/>
    <w:qFormat/>
    <w:rPr>
      <w:b/>
      <w:bCs/>
    </w:rPr>
  </w:style>
  <w:style w:type="character" w:customStyle="1" w:styleId="a4">
    <w:name w:val="正文文本 字符"/>
    <w:basedOn w:val="a0"/>
    <w:link w:val="a3"/>
    <w:uiPriority w:val="1"/>
    <w:rPr>
      <w:rFonts w:ascii="宋体" w:eastAsia="宋体" w:hAnsi="宋体" w:cs="宋体"/>
      <w:kern w:val="0"/>
      <w:sz w:val="27"/>
      <w:szCs w:val="27"/>
      <w:lang w:eastAsia="en-US"/>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a">
    <w:name w:val="副标题 字符"/>
    <w:basedOn w:val="a0"/>
    <w:link w:val="a9"/>
    <w:uiPriority w:val="11"/>
    <w:qFormat/>
    <w:rPr>
      <w:b/>
      <w:bCs/>
      <w:kern w:val="28"/>
      <w:sz w:val="32"/>
      <w:szCs w:val="32"/>
    </w:rPr>
  </w:style>
  <w:style w:type="paragraph" w:customStyle="1" w:styleId="ds-markdown-paragraph">
    <w:name w:val="ds-markdown-paragraph"/>
    <w:basedOn w:val="a"/>
    <w:pPr>
      <w:spacing w:before="100" w:beforeAutospacing="1" w:after="100" w:afterAutospacing="1"/>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629B-BDD8-4039-A736-EFC30471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151</Words>
  <Characters>861</Characters>
  <Application>Microsoft Office Word</Application>
  <DocSecurity>0</DocSecurity>
  <Lines>7</Lines>
  <Paragraphs>2</Paragraphs>
  <ScaleCrop>false</ScaleCrop>
  <Company>微软中国</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84</cp:revision>
  <dcterms:created xsi:type="dcterms:W3CDTF">2024-12-17T02:14:00Z</dcterms:created>
  <dcterms:modified xsi:type="dcterms:W3CDTF">2026-07-20T03:42:00Z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eyJoZGlkIjoiMzEwNTM5NzYwMDRjMzkwZTVkZjY2ODkwMGIxNGU0OTUiLCJ1c2VySWQiOiI1OTg5NjkwNDcifQ==</vt:lpwstr>
  </property>
  <property fmtid="{D5CDD505-2E9C-101B-9397-08002B2CF9AE}" pid="3" name="KSOProductBuildVer">
    <vt:lpwstr>2052-12.1.0.26895</vt:lpwstr>
  </property>
  <property fmtid="{D5CDD505-2E9C-101B-9397-08002B2CF9AE}" pid="4" name="ICV">
    <vt:lpwstr>2DACAE3F572D4819AAC4387EB4291FD0_12</vt:lpwstr>
  </property>
</Properties>
</file>