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F28303">
      <w:pPr>
        <w:keepNext w:val="0"/>
        <w:keepLines w:val="0"/>
        <w:pageBreakBefore w:val="0"/>
        <w:widowControl/>
        <w:kinsoku/>
        <w:wordWrap w:val="0"/>
        <w:overflowPunct/>
        <w:topLinePunct w:val="0"/>
        <w:autoSpaceDE/>
        <w:autoSpaceDN/>
        <w:bidi w:val="0"/>
        <w:adjustRightInd/>
        <w:snapToGrid/>
        <w:spacing w:line="360" w:lineRule="auto"/>
        <w:jc w:val="center"/>
        <w:rPr>
          <w:rFonts w:hint="eastAsia" w:ascii="宋体" w:hAnsi="宋体" w:eastAsia="宋体" w:cs="宋体"/>
          <w:b/>
          <w:bCs/>
          <w:color w:val="000000"/>
          <w:kern w:val="0"/>
          <w:sz w:val="21"/>
          <w:szCs w:val="21"/>
          <w:lang w:val="en-US" w:eastAsia="zh-CN"/>
        </w:rPr>
      </w:pPr>
      <w:r>
        <w:rPr>
          <w:rFonts w:hint="eastAsia" w:ascii="宋体" w:hAnsi="宋体" w:eastAsia="宋体" w:cs="宋体"/>
          <w:b/>
          <w:bCs/>
          <w:kern w:val="2"/>
          <w:sz w:val="24"/>
          <w:szCs w:val="24"/>
          <w:vertAlign w:val="baseline"/>
          <w:lang w:val="en-US" w:eastAsia="zh-CN" w:bidi="ar-SA"/>
        </w:rPr>
        <w:t>中山大学附属第一医院垫料、巢料片及葵花籽等采购项目报价单</w:t>
      </w:r>
    </w:p>
    <w:tbl>
      <w:tblPr>
        <w:tblStyle w:val="5"/>
        <w:tblW w:w="141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5"/>
        <w:gridCol w:w="2942"/>
        <w:gridCol w:w="1618"/>
        <w:gridCol w:w="1232"/>
        <w:gridCol w:w="1733"/>
        <w:gridCol w:w="1890"/>
        <w:gridCol w:w="1890"/>
        <w:gridCol w:w="1890"/>
      </w:tblGrid>
      <w:tr w14:paraId="03303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5" w:type="dxa"/>
          </w:tcPr>
          <w:p w14:paraId="3AB99BC1">
            <w:pPr>
              <w:keepNext w:val="0"/>
              <w:keepLines w:val="0"/>
              <w:pageBreakBefore w:val="0"/>
              <w:numPr>
                <w:ilvl w:val="0"/>
                <w:numId w:val="0"/>
              </w:numPr>
              <w:kinsoku/>
              <w:overflowPunct/>
              <w:topLinePunct w:val="0"/>
              <w:autoSpaceDE/>
              <w:autoSpaceDN/>
              <w:bidi w:val="0"/>
              <w:adjustRightInd/>
              <w:snapToGrid/>
              <w:spacing w:line="360" w:lineRule="auto"/>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序号</w:t>
            </w:r>
          </w:p>
        </w:tc>
        <w:tc>
          <w:tcPr>
            <w:tcW w:w="2942" w:type="dxa"/>
          </w:tcPr>
          <w:p w14:paraId="056540BF">
            <w:pPr>
              <w:keepNext w:val="0"/>
              <w:keepLines w:val="0"/>
              <w:pageBreakBefore w:val="0"/>
              <w:numPr>
                <w:ilvl w:val="0"/>
                <w:numId w:val="0"/>
              </w:numPr>
              <w:kinsoku/>
              <w:overflowPunct/>
              <w:topLinePunct w:val="0"/>
              <w:autoSpaceDE/>
              <w:autoSpaceDN/>
              <w:bidi w:val="0"/>
              <w:adjustRightInd/>
              <w:snapToGrid/>
              <w:spacing w:line="360" w:lineRule="auto"/>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货物名称</w:t>
            </w:r>
          </w:p>
        </w:tc>
        <w:tc>
          <w:tcPr>
            <w:tcW w:w="1618" w:type="dxa"/>
          </w:tcPr>
          <w:p w14:paraId="3ED6FD46">
            <w:pPr>
              <w:keepNext w:val="0"/>
              <w:keepLines w:val="0"/>
              <w:pageBreakBefore w:val="0"/>
              <w:numPr>
                <w:ilvl w:val="0"/>
                <w:numId w:val="0"/>
              </w:numPr>
              <w:kinsoku/>
              <w:overflowPunct/>
              <w:topLinePunct w:val="0"/>
              <w:autoSpaceDE/>
              <w:autoSpaceDN/>
              <w:bidi w:val="0"/>
              <w:adjustRightInd/>
              <w:snapToGrid/>
              <w:spacing w:line="360" w:lineRule="auto"/>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规格型号</w:t>
            </w:r>
          </w:p>
        </w:tc>
        <w:tc>
          <w:tcPr>
            <w:tcW w:w="1232" w:type="dxa"/>
            <w:shd w:val="clear" w:color="auto" w:fill="auto"/>
            <w:vAlign w:val="top"/>
          </w:tcPr>
          <w:p w14:paraId="7C78ADF1">
            <w:pPr>
              <w:keepNext w:val="0"/>
              <w:keepLines w:val="0"/>
              <w:pageBreakBefore w:val="0"/>
              <w:numPr>
                <w:ilvl w:val="0"/>
                <w:numId w:val="0"/>
              </w:numPr>
              <w:kinsoku/>
              <w:overflowPunct/>
              <w:topLinePunct w:val="0"/>
              <w:autoSpaceDE/>
              <w:autoSpaceDN/>
              <w:bidi w:val="0"/>
              <w:adjustRightInd/>
              <w:snapToGrid/>
              <w:spacing w:line="360" w:lineRule="auto"/>
              <w:ind w:left="0" w:leftChars="0" w:firstLine="0" w:firstLineChars="0"/>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单位</w:t>
            </w:r>
          </w:p>
        </w:tc>
        <w:tc>
          <w:tcPr>
            <w:tcW w:w="1733" w:type="dxa"/>
            <w:shd w:val="clear" w:color="auto" w:fill="auto"/>
            <w:vAlign w:val="top"/>
          </w:tcPr>
          <w:p w14:paraId="60F1FFBF">
            <w:pPr>
              <w:keepNext w:val="0"/>
              <w:keepLines w:val="0"/>
              <w:pageBreakBefore w:val="0"/>
              <w:numPr>
                <w:ilvl w:val="0"/>
                <w:numId w:val="0"/>
              </w:numPr>
              <w:kinsoku/>
              <w:overflowPunct/>
              <w:topLinePunct w:val="0"/>
              <w:autoSpaceDE/>
              <w:autoSpaceDN/>
              <w:bidi w:val="0"/>
              <w:adjustRightInd/>
              <w:snapToGrid/>
              <w:spacing w:line="360" w:lineRule="auto"/>
              <w:ind w:left="0" w:leftChars="0" w:firstLine="0" w:firstLineChars="0"/>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数量</w:t>
            </w:r>
          </w:p>
        </w:tc>
        <w:tc>
          <w:tcPr>
            <w:tcW w:w="1890" w:type="dxa"/>
            <w:shd w:val="clear" w:color="auto" w:fill="auto"/>
            <w:vAlign w:val="top"/>
          </w:tcPr>
          <w:p w14:paraId="12F8D97F">
            <w:pPr>
              <w:keepNext w:val="0"/>
              <w:keepLines w:val="0"/>
              <w:pageBreakBefore w:val="0"/>
              <w:numPr>
                <w:ilvl w:val="0"/>
                <w:numId w:val="0"/>
              </w:numPr>
              <w:kinsoku/>
              <w:overflowPunct/>
              <w:topLinePunct w:val="0"/>
              <w:autoSpaceDE/>
              <w:autoSpaceDN/>
              <w:bidi w:val="0"/>
              <w:adjustRightInd/>
              <w:snapToGrid/>
              <w:spacing w:line="360" w:lineRule="auto"/>
              <w:ind w:left="0" w:leftChars="0" w:firstLine="0" w:firstLineChars="0"/>
              <w:jc w:val="center"/>
              <w:rPr>
                <w:rFonts w:hint="default"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品牌型号</w:t>
            </w:r>
          </w:p>
        </w:tc>
        <w:tc>
          <w:tcPr>
            <w:tcW w:w="1890" w:type="dxa"/>
            <w:shd w:val="clear" w:color="auto" w:fill="auto"/>
            <w:vAlign w:val="top"/>
          </w:tcPr>
          <w:p w14:paraId="44D969A5">
            <w:pPr>
              <w:keepNext w:val="0"/>
              <w:keepLines w:val="0"/>
              <w:pageBreakBefore w:val="0"/>
              <w:numPr>
                <w:ilvl w:val="0"/>
                <w:numId w:val="0"/>
              </w:numPr>
              <w:kinsoku/>
              <w:overflowPunct/>
              <w:topLinePunct w:val="0"/>
              <w:autoSpaceDE/>
              <w:autoSpaceDN/>
              <w:bidi w:val="0"/>
              <w:adjustRightInd/>
              <w:snapToGrid/>
              <w:spacing w:line="360" w:lineRule="auto"/>
              <w:ind w:left="0" w:leftChars="0" w:firstLine="0" w:firstLineChars="0"/>
              <w:jc w:val="center"/>
              <w:rPr>
                <w:rFonts w:hint="default"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单价（元）</w:t>
            </w:r>
          </w:p>
        </w:tc>
        <w:tc>
          <w:tcPr>
            <w:tcW w:w="1890" w:type="dxa"/>
            <w:shd w:val="clear" w:color="auto" w:fill="auto"/>
            <w:vAlign w:val="top"/>
          </w:tcPr>
          <w:p w14:paraId="361B50E1">
            <w:pPr>
              <w:keepNext w:val="0"/>
              <w:keepLines w:val="0"/>
              <w:pageBreakBefore w:val="0"/>
              <w:numPr>
                <w:ilvl w:val="0"/>
                <w:numId w:val="0"/>
              </w:numPr>
              <w:kinsoku/>
              <w:overflowPunct/>
              <w:topLinePunct w:val="0"/>
              <w:autoSpaceDE/>
              <w:autoSpaceDN/>
              <w:bidi w:val="0"/>
              <w:adjustRightInd/>
              <w:snapToGrid/>
              <w:spacing w:line="360" w:lineRule="auto"/>
              <w:ind w:left="0" w:leftChars="0" w:firstLine="0" w:firstLineChars="0"/>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单项总价（元）</w:t>
            </w:r>
          </w:p>
        </w:tc>
      </w:tr>
      <w:tr w14:paraId="0E4BA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75" w:type="dxa"/>
            <w:vAlign w:val="center"/>
          </w:tcPr>
          <w:p w14:paraId="28ADDAE6">
            <w:pPr>
              <w:keepNext w:val="0"/>
              <w:keepLines w:val="0"/>
              <w:pageBreakBefore w:val="0"/>
              <w:numPr>
                <w:ilvl w:val="0"/>
                <w:numId w:val="0"/>
              </w:numPr>
              <w:kinsoku/>
              <w:overflowPunct/>
              <w:topLinePunct w:val="0"/>
              <w:autoSpaceDE/>
              <w:autoSpaceDN/>
              <w:bidi w:val="0"/>
              <w:adjustRightInd/>
              <w:snapToGrid/>
              <w:spacing w:line="360" w:lineRule="auto"/>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1</w:t>
            </w:r>
          </w:p>
        </w:tc>
        <w:tc>
          <w:tcPr>
            <w:tcW w:w="2942" w:type="dxa"/>
            <w:vAlign w:val="center"/>
          </w:tcPr>
          <w:p w14:paraId="6A3EFBBB">
            <w:pPr>
              <w:keepNext w:val="0"/>
              <w:keepLines w:val="0"/>
              <w:pageBreakBefore w:val="0"/>
              <w:numPr>
                <w:ilvl w:val="0"/>
                <w:numId w:val="0"/>
              </w:numPr>
              <w:kinsoku/>
              <w:overflowPunct/>
              <w:topLinePunct w:val="0"/>
              <w:autoSpaceDE/>
              <w:autoSpaceDN/>
              <w:bidi w:val="0"/>
              <w:adjustRightInd/>
              <w:snapToGrid/>
              <w:spacing w:line="360" w:lineRule="auto"/>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实验动物玉米芯垫料</w:t>
            </w:r>
          </w:p>
        </w:tc>
        <w:tc>
          <w:tcPr>
            <w:tcW w:w="1618" w:type="dxa"/>
            <w:vMerge w:val="restart"/>
            <w:vAlign w:val="center"/>
          </w:tcPr>
          <w:p w14:paraId="4AFD2250">
            <w:pPr>
              <w:keepNext w:val="0"/>
              <w:keepLines w:val="0"/>
              <w:pageBreakBefore w:val="0"/>
              <w:numPr>
                <w:ilvl w:val="0"/>
                <w:numId w:val="0"/>
              </w:numPr>
              <w:kinsoku/>
              <w:overflowPunct/>
              <w:topLinePunct w:val="0"/>
              <w:autoSpaceDE/>
              <w:autoSpaceDN/>
              <w:bidi w:val="0"/>
              <w:adjustRightInd/>
              <w:snapToGrid/>
              <w:spacing w:line="360" w:lineRule="auto"/>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详见技术参数</w:t>
            </w:r>
          </w:p>
        </w:tc>
        <w:tc>
          <w:tcPr>
            <w:tcW w:w="1232" w:type="dxa"/>
            <w:vAlign w:val="center"/>
          </w:tcPr>
          <w:p w14:paraId="1ACE57E8">
            <w:pPr>
              <w:keepNext w:val="0"/>
              <w:keepLines w:val="0"/>
              <w:pageBreakBefore w:val="0"/>
              <w:numPr>
                <w:ilvl w:val="0"/>
                <w:numId w:val="0"/>
              </w:numPr>
              <w:kinsoku/>
              <w:overflowPunct/>
              <w:topLinePunct w:val="0"/>
              <w:autoSpaceDE/>
              <w:autoSpaceDN/>
              <w:bidi w:val="0"/>
              <w:adjustRightInd/>
              <w:snapToGrid/>
              <w:spacing w:line="360" w:lineRule="auto"/>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千克</w:t>
            </w:r>
          </w:p>
        </w:tc>
        <w:tc>
          <w:tcPr>
            <w:tcW w:w="1733" w:type="dxa"/>
            <w:shd w:val="clear" w:color="auto" w:fill="auto"/>
            <w:vAlign w:val="center"/>
          </w:tcPr>
          <w:p w14:paraId="37065149">
            <w:pPr>
              <w:keepNext w:val="0"/>
              <w:keepLines w:val="0"/>
              <w:pageBreakBefore w:val="0"/>
              <w:widowControl/>
              <w:suppressLineNumbers w:val="0"/>
              <w:kinsoku/>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i w:val="0"/>
                <w:iCs w:val="0"/>
                <w:color w:val="000000"/>
                <w:kern w:val="0"/>
                <w:sz w:val="21"/>
                <w:szCs w:val="21"/>
                <w:u w:val="none"/>
                <w:lang w:val="en-US" w:eastAsia="zh-CN" w:bidi="ar"/>
              </w:rPr>
              <w:t>30000</w:t>
            </w:r>
          </w:p>
        </w:tc>
        <w:tc>
          <w:tcPr>
            <w:tcW w:w="1890" w:type="dxa"/>
            <w:shd w:val="clear" w:color="auto" w:fill="auto"/>
            <w:vAlign w:val="center"/>
          </w:tcPr>
          <w:p w14:paraId="39FD4EA6">
            <w:pPr>
              <w:keepNext w:val="0"/>
              <w:keepLines w:val="0"/>
              <w:pageBreakBefore w:val="0"/>
              <w:widowControl/>
              <w:suppressLineNumbers w:val="0"/>
              <w:kinsoku/>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1890" w:type="dxa"/>
            <w:shd w:val="clear" w:color="auto" w:fill="auto"/>
            <w:vAlign w:val="center"/>
          </w:tcPr>
          <w:p w14:paraId="4FA6CD3E">
            <w:pPr>
              <w:keepNext w:val="0"/>
              <w:keepLines w:val="0"/>
              <w:pageBreakBefore w:val="0"/>
              <w:widowControl/>
              <w:suppressLineNumbers w:val="0"/>
              <w:kinsoku/>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1890" w:type="dxa"/>
            <w:shd w:val="clear" w:color="auto" w:fill="auto"/>
            <w:vAlign w:val="center"/>
          </w:tcPr>
          <w:p w14:paraId="0E6023B9">
            <w:pPr>
              <w:keepNext w:val="0"/>
              <w:keepLines w:val="0"/>
              <w:pageBreakBefore w:val="0"/>
              <w:widowControl/>
              <w:suppressLineNumbers w:val="0"/>
              <w:kinsoku/>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000000"/>
                <w:kern w:val="0"/>
                <w:sz w:val="21"/>
                <w:szCs w:val="21"/>
                <w:u w:val="none"/>
                <w:lang w:val="en-US" w:eastAsia="zh-CN" w:bidi="ar"/>
              </w:rPr>
            </w:pPr>
          </w:p>
        </w:tc>
      </w:tr>
      <w:tr w14:paraId="16ABF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4" w:hRule="atLeast"/>
          <w:jc w:val="center"/>
        </w:trPr>
        <w:tc>
          <w:tcPr>
            <w:tcW w:w="975" w:type="dxa"/>
            <w:vAlign w:val="center"/>
          </w:tcPr>
          <w:p w14:paraId="701C44AF">
            <w:pPr>
              <w:keepNext w:val="0"/>
              <w:keepLines w:val="0"/>
              <w:pageBreakBefore w:val="0"/>
              <w:numPr>
                <w:ilvl w:val="0"/>
                <w:numId w:val="0"/>
              </w:numPr>
              <w:kinsoku/>
              <w:overflowPunct/>
              <w:topLinePunct w:val="0"/>
              <w:autoSpaceDE/>
              <w:autoSpaceDN/>
              <w:bidi w:val="0"/>
              <w:adjustRightInd/>
              <w:snapToGrid/>
              <w:spacing w:line="360" w:lineRule="auto"/>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2</w:t>
            </w:r>
          </w:p>
        </w:tc>
        <w:tc>
          <w:tcPr>
            <w:tcW w:w="2942" w:type="dxa"/>
            <w:vAlign w:val="center"/>
          </w:tcPr>
          <w:p w14:paraId="05FF0BEB">
            <w:pPr>
              <w:keepNext w:val="0"/>
              <w:keepLines w:val="0"/>
              <w:pageBreakBefore w:val="0"/>
              <w:numPr>
                <w:ilvl w:val="0"/>
                <w:numId w:val="0"/>
              </w:numPr>
              <w:kinsoku/>
              <w:overflowPunct/>
              <w:topLinePunct w:val="0"/>
              <w:autoSpaceDE/>
              <w:autoSpaceDN/>
              <w:bidi w:val="0"/>
              <w:adjustRightInd/>
              <w:snapToGrid/>
              <w:spacing w:line="360" w:lineRule="auto"/>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lang w:val="en-US" w:eastAsia="zh-CN"/>
              </w:rPr>
              <w:t>巢料片（</w:t>
            </w:r>
            <w:r>
              <w:rPr>
                <w:rFonts w:hint="eastAsia" w:ascii="宋体" w:hAnsi="宋体" w:eastAsia="宋体" w:cs="宋体"/>
                <w:b w:val="0"/>
                <w:bCs w:val="0"/>
                <w:color w:val="000000"/>
                <w:kern w:val="0"/>
                <w:sz w:val="21"/>
                <w:szCs w:val="21"/>
              </w:rPr>
              <w:t>实验动物纸质垫料纸棒</w:t>
            </w:r>
            <w:r>
              <w:rPr>
                <w:rFonts w:hint="eastAsia" w:ascii="宋体" w:hAnsi="宋体" w:eastAsia="宋体" w:cs="宋体"/>
                <w:b w:val="0"/>
                <w:bCs w:val="0"/>
                <w:color w:val="000000"/>
                <w:kern w:val="0"/>
                <w:sz w:val="21"/>
                <w:szCs w:val="21"/>
                <w:lang w:eastAsia="zh-CN"/>
              </w:rPr>
              <w:t>）</w:t>
            </w:r>
          </w:p>
        </w:tc>
        <w:tc>
          <w:tcPr>
            <w:tcW w:w="1618" w:type="dxa"/>
            <w:vMerge w:val="continue"/>
            <w:vAlign w:val="center"/>
          </w:tcPr>
          <w:p w14:paraId="6C2DE9D3">
            <w:pPr>
              <w:keepNext w:val="0"/>
              <w:keepLines w:val="0"/>
              <w:pageBreakBefore w:val="0"/>
              <w:numPr>
                <w:ilvl w:val="0"/>
                <w:numId w:val="0"/>
              </w:numPr>
              <w:kinsoku/>
              <w:overflowPunct/>
              <w:topLinePunct w:val="0"/>
              <w:autoSpaceDE/>
              <w:autoSpaceDN/>
              <w:bidi w:val="0"/>
              <w:adjustRightInd/>
              <w:snapToGrid/>
              <w:spacing w:line="360" w:lineRule="auto"/>
              <w:jc w:val="center"/>
              <w:rPr>
                <w:rFonts w:hint="eastAsia" w:ascii="宋体" w:hAnsi="宋体" w:eastAsia="宋体" w:cs="宋体"/>
                <w:b w:val="0"/>
                <w:bCs w:val="0"/>
                <w:kern w:val="2"/>
                <w:sz w:val="21"/>
                <w:szCs w:val="21"/>
                <w:vertAlign w:val="baseline"/>
                <w:lang w:val="en-US" w:eastAsia="zh-CN" w:bidi="ar-SA"/>
              </w:rPr>
            </w:pPr>
          </w:p>
        </w:tc>
        <w:tc>
          <w:tcPr>
            <w:tcW w:w="1232" w:type="dxa"/>
            <w:vAlign w:val="center"/>
          </w:tcPr>
          <w:p w14:paraId="604FC5E3">
            <w:pPr>
              <w:keepNext w:val="0"/>
              <w:keepLines w:val="0"/>
              <w:pageBreakBefore w:val="0"/>
              <w:numPr>
                <w:ilvl w:val="0"/>
                <w:numId w:val="0"/>
              </w:numPr>
              <w:kinsoku/>
              <w:overflowPunct/>
              <w:topLinePunct w:val="0"/>
              <w:autoSpaceDE/>
              <w:autoSpaceDN/>
              <w:bidi w:val="0"/>
              <w:adjustRightInd/>
              <w:snapToGrid/>
              <w:spacing w:line="360" w:lineRule="auto"/>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千克</w:t>
            </w:r>
          </w:p>
        </w:tc>
        <w:tc>
          <w:tcPr>
            <w:tcW w:w="1733" w:type="dxa"/>
            <w:shd w:val="clear" w:color="auto" w:fill="auto"/>
            <w:vAlign w:val="center"/>
          </w:tcPr>
          <w:p w14:paraId="75D235E4">
            <w:pPr>
              <w:keepNext w:val="0"/>
              <w:keepLines w:val="0"/>
              <w:pageBreakBefore w:val="0"/>
              <w:widowControl/>
              <w:suppressLineNumbers w:val="0"/>
              <w:kinsoku/>
              <w:overflowPunct/>
              <w:topLinePunct w:val="0"/>
              <w:autoSpaceDE/>
              <w:autoSpaceDN/>
              <w:bidi w:val="0"/>
              <w:adjustRightInd/>
              <w:snapToGrid/>
              <w:spacing w:line="360" w:lineRule="auto"/>
              <w:jc w:val="center"/>
              <w:textAlignment w:val="center"/>
              <w:rPr>
                <w:rFonts w:hint="default"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i w:val="0"/>
                <w:iCs w:val="0"/>
                <w:color w:val="000000"/>
                <w:kern w:val="0"/>
                <w:sz w:val="21"/>
                <w:szCs w:val="21"/>
                <w:u w:val="none"/>
                <w:lang w:val="en-US" w:eastAsia="zh-CN" w:bidi="ar"/>
              </w:rPr>
              <w:t>250</w:t>
            </w:r>
          </w:p>
        </w:tc>
        <w:tc>
          <w:tcPr>
            <w:tcW w:w="1890" w:type="dxa"/>
            <w:shd w:val="clear" w:color="auto" w:fill="auto"/>
            <w:vAlign w:val="center"/>
          </w:tcPr>
          <w:p w14:paraId="72CFD817">
            <w:pPr>
              <w:keepNext w:val="0"/>
              <w:keepLines w:val="0"/>
              <w:pageBreakBefore w:val="0"/>
              <w:widowControl/>
              <w:suppressLineNumbers w:val="0"/>
              <w:kinsoku/>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1890" w:type="dxa"/>
            <w:shd w:val="clear" w:color="auto" w:fill="auto"/>
            <w:vAlign w:val="center"/>
          </w:tcPr>
          <w:p w14:paraId="3D1757BC">
            <w:pPr>
              <w:keepNext w:val="0"/>
              <w:keepLines w:val="0"/>
              <w:pageBreakBefore w:val="0"/>
              <w:widowControl/>
              <w:suppressLineNumbers w:val="0"/>
              <w:kinsoku/>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1890" w:type="dxa"/>
            <w:shd w:val="clear" w:color="auto" w:fill="auto"/>
            <w:vAlign w:val="center"/>
          </w:tcPr>
          <w:p w14:paraId="5CD4AFE0">
            <w:pPr>
              <w:keepNext w:val="0"/>
              <w:keepLines w:val="0"/>
              <w:pageBreakBefore w:val="0"/>
              <w:widowControl/>
              <w:suppressLineNumbers w:val="0"/>
              <w:kinsoku/>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000000"/>
                <w:kern w:val="0"/>
                <w:sz w:val="21"/>
                <w:szCs w:val="21"/>
                <w:u w:val="none"/>
                <w:lang w:val="en-US" w:eastAsia="zh-CN" w:bidi="ar"/>
              </w:rPr>
            </w:pPr>
          </w:p>
        </w:tc>
      </w:tr>
      <w:tr w14:paraId="16C28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975" w:type="dxa"/>
            <w:vAlign w:val="center"/>
          </w:tcPr>
          <w:p w14:paraId="3DDCC106">
            <w:pPr>
              <w:keepNext w:val="0"/>
              <w:keepLines w:val="0"/>
              <w:pageBreakBefore w:val="0"/>
              <w:numPr>
                <w:ilvl w:val="0"/>
                <w:numId w:val="0"/>
              </w:numPr>
              <w:kinsoku/>
              <w:overflowPunct/>
              <w:topLinePunct w:val="0"/>
              <w:autoSpaceDE/>
              <w:autoSpaceDN/>
              <w:bidi w:val="0"/>
              <w:adjustRightInd/>
              <w:snapToGrid/>
              <w:spacing w:line="360" w:lineRule="auto"/>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3</w:t>
            </w:r>
          </w:p>
        </w:tc>
        <w:tc>
          <w:tcPr>
            <w:tcW w:w="2942" w:type="dxa"/>
            <w:vAlign w:val="center"/>
          </w:tcPr>
          <w:p w14:paraId="11C5606B">
            <w:pPr>
              <w:keepNext w:val="0"/>
              <w:keepLines w:val="0"/>
              <w:pageBreakBefore w:val="0"/>
              <w:numPr>
                <w:ilvl w:val="0"/>
                <w:numId w:val="0"/>
              </w:numPr>
              <w:kinsoku/>
              <w:overflowPunct/>
              <w:topLinePunct w:val="0"/>
              <w:autoSpaceDE/>
              <w:autoSpaceDN/>
              <w:bidi w:val="0"/>
              <w:adjustRightInd/>
              <w:snapToGrid/>
              <w:spacing w:line="360" w:lineRule="auto"/>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color w:val="000000"/>
                <w:kern w:val="0"/>
                <w:sz w:val="21"/>
                <w:szCs w:val="21"/>
                <w:lang w:val="en-US" w:eastAsia="zh-CN" w:bidi="ar"/>
              </w:rPr>
              <w:t>实验动物葵花籽</w:t>
            </w:r>
          </w:p>
        </w:tc>
        <w:tc>
          <w:tcPr>
            <w:tcW w:w="1618" w:type="dxa"/>
            <w:vMerge w:val="continue"/>
            <w:vAlign w:val="center"/>
          </w:tcPr>
          <w:p w14:paraId="4C6EFA88">
            <w:pPr>
              <w:keepNext w:val="0"/>
              <w:keepLines w:val="0"/>
              <w:pageBreakBefore w:val="0"/>
              <w:numPr>
                <w:ilvl w:val="0"/>
                <w:numId w:val="0"/>
              </w:numPr>
              <w:kinsoku/>
              <w:overflowPunct/>
              <w:topLinePunct w:val="0"/>
              <w:autoSpaceDE/>
              <w:autoSpaceDN/>
              <w:bidi w:val="0"/>
              <w:adjustRightInd/>
              <w:snapToGrid/>
              <w:spacing w:line="360" w:lineRule="auto"/>
              <w:jc w:val="center"/>
              <w:rPr>
                <w:rFonts w:hint="eastAsia" w:ascii="宋体" w:hAnsi="宋体" w:eastAsia="宋体" w:cs="宋体"/>
                <w:b w:val="0"/>
                <w:bCs w:val="0"/>
                <w:kern w:val="2"/>
                <w:sz w:val="21"/>
                <w:szCs w:val="21"/>
                <w:vertAlign w:val="baseline"/>
                <w:lang w:val="en-US" w:eastAsia="zh-CN" w:bidi="ar-SA"/>
              </w:rPr>
            </w:pPr>
          </w:p>
        </w:tc>
        <w:tc>
          <w:tcPr>
            <w:tcW w:w="1232" w:type="dxa"/>
            <w:vAlign w:val="center"/>
          </w:tcPr>
          <w:p w14:paraId="5B8B5732">
            <w:pPr>
              <w:keepNext w:val="0"/>
              <w:keepLines w:val="0"/>
              <w:pageBreakBefore w:val="0"/>
              <w:numPr>
                <w:ilvl w:val="0"/>
                <w:numId w:val="0"/>
              </w:numPr>
              <w:kinsoku/>
              <w:overflowPunct/>
              <w:topLinePunct w:val="0"/>
              <w:autoSpaceDE/>
              <w:autoSpaceDN/>
              <w:bidi w:val="0"/>
              <w:adjustRightInd/>
              <w:snapToGrid/>
              <w:spacing w:line="360" w:lineRule="auto"/>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千克</w:t>
            </w:r>
          </w:p>
        </w:tc>
        <w:tc>
          <w:tcPr>
            <w:tcW w:w="1733" w:type="dxa"/>
            <w:shd w:val="clear" w:color="auto" w:fill="auto"/>
            <w:vAlign w:val="center"/>
          </w:tcPr>
          <w:p w14:paraId="1C208FE3">
            <w:pPr>
              <w:keepNext w:val="0"/>
              <w:keepLines w:val="0"/>
              <w:pageBreakBefore w:val="0"/>
              <w:widowControl/>
              <w:suppressLineNumbers w:val="0"/>
              <w:kinsoku/>
              <w:overflowPunct/>
              <w:topLinePunct w:val="0"/>
              <w:autoSpaceDE/>
              <w:autoSpaceDN/>
              <w:bidi w:val="0"/>
              <w:adjustRightInd/>
              <w:snapToGrid/>
              <w:spacing w:line="360" w:lineRule="auto"/>
              <w:jc w:val="center"/>
              <w:textAlignment w:val="center"/>
              <w:rPr>
                <w:rFonts w:hint="default"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i w:val="0"/>
                <w:iCs w:val="0"/>
                <w:color w:val="000000"/>
                <w:kern w:val="0"/>
                <w:sz w:val="21"/>
                <w:szCs w:val="21"/>
                <w:u w:val="none"/>
                <w:lang w:val="en-US" w:eastAsia="zh-CN" w:bidi="ar"/>
              </w:rPr>
              <w:t>200</w:t>
            </w:r>
          </w:p>
        </w:tc>
        <w:tc>
          <w:tcPr>
            <w:tcW w:w="1890" w:type="dxa"/>
            <w:shd w:val="clear" w:color="auto" w:fill="auto"/>
            <w:vAlign w:val="center"/>
          </w:tcPr>
          <w:p w14:paraId="4B08E8B9">
            <w:pPr>
              <w:keepNext w:val="0"/>
              <w:keepLines w:val="0"/>
              <w:pageBreakBefore w:val="0"/>
              <w:widowControl/>
              <w:suppressLineNumbers w:val="0"/>
              <w:kinsoku/>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1890" w:type="dxa"/>
            <w:shd w:val="clear" w:color="auto" w:fill="auto"/>
            <w:vAlign w:val="center"/>
          </w:tcPr>
          <w:p w14:paraId="6E5FEFED">
            <w:pPr>
              <w:keepNext w:val="0"/>
              <w:keepLines w:val="0"/>
              <w:pageBreakBefore w:val="0"/>
              <w:widowControl/>
              <w:suppressLineNumbers w:val="0"/>
              <w:kinsoku/>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1890" w:type="dxa"/>
            <w:shd w:val="clear" w:color="auto" w:fill="auto"/>
            <w:vAlign w:val="center"/>
          </w:tcPr>
          <w:p w14:paraId="46927C77">
            <w:pPr>
              <w:keepNext w:val="0"/>
              <w:keepLines w:val="0"/>
              <w:pageBreakBefore w:val="0"/>
              <w:widowControl/>
              <w:suppressLineNumbers w:val="0"/>
              <w:kinsoku/>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000000"/>
                <w:kern w:val="0"/>
                <w:sz w:val="21"/>
                <w:szCs w:val="21"/>
                <w:u w:val="none"/>
                <w:lang w:val="en-US" w:eastAsia="zh-CN" w:bidi="ar"/>
              </w:rPr>
            </w:pPr>
          </w:p>
        </w:tc>
      </w:tr>
      <w:tr w14:paraId="52590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975" w:type="dxa"/>
            <w:vAlign w:val="center"/>
          </w:tcPr>
          <w:p w14:paraId="06CA6463">
            <w:pPr>
              <w:keepNext w:val="0"/>
              <w:keepLines w:val="0"/>
              <w:pageBreakBefore w:val="0"/>
              <w:numPr>
                <w:ilvl w:val="0"/>
                <w:numId w:val="0"/>
              </w:numPr>
              <w:kinsoku/>
              <w:overflowPunct/>
              <w:topLinePunct w:val="0"/>
              <w:autoSpaceDE/>
              <w:autoSpaceDN/>
              <w:bidi w:val="0"/>
              <w:adjustRightInd/>
              <w:snapToGrid/>
              <w:spacing w:line="360" w:lineRule="auto"/>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4</w:t>
            </w:r>
          </w:p>
        </w:tc>
        <w:tc>
          <w:tcPr>
            <w:tcW w:w="2942" w:type="dxa"/>
            <w:vAlign w:val="center"/>
          </w:tcPr>
          <w:p w14:paraId="5CE6B3C6">
            <w:pPr>
              <w:keepNext w:val="0"/>
              <w:keepLines w:val="0"/>
              <w:pageBreakBefore w:val="0"/>
              <w:numPr>
                <w:ilvl w:val="0"/>
                <w:numId w:val="0"/>
              </w:numPr>
              <w:kinsoku/>
              <w:overflowPunct/>
              <w:topLinePunct w:val="0"/>
              <w:autoSpaceDE/>
              <w:autoSpaceDN/>
              <w:bidi w:val="0"/>
              <w:adjustRightInd/>
              <w:snapToGrid/>
              <w:spacing w:line="360" w:lineRule="auto"/>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实验用压缩刨花垫料</w:t>
            </w:r>
          </w:p>
        </w:tc>
        <w:tc>
          <w:tcPr>
            <w:tcW w:w="1618" w:type="dxa"/>
            <w:vMerge w:val="continue"/>
            <w:vAlign w:val="center"/>
          </w:tcPr>
          <w:p w14:paraId="0BD15CBB">
            <w:pPr>
              <w:keepNext w:val="0"/>
              <w:keepLines w:val="0"/>
              <w:pageBreakBefore w:val="0"/>
              <w:numPr>
                <w:ilvl w:val="0"/>
                <w:numId w:val="0"/>
              </w:numPr>
              <w:kinsoku/>
              <w:overflowPunct/>
              <w:topLinePunct w:val="0"/>
              <w:autoSpaceDE/>
              <w:autoSpaceDN/>
              <w:bidi w:val="0"/>
              <w:adjustRightInd/>
              <w:snapToGrid/>
              <w:spacing w:line="360" w:lineRule="auto"/>
              <w:jc w:val="center"/>
              <w:rPr>
                <w:rFonts w:hint="eastAsia" w:ascii="宋体" w:hAnsi="宋体" w:eastAsia="宋体" w:cs="宋体"/>
                <w:b w:val="0"/>
                <w:bCs w:val="0"/>
                <w:kern w:val="2"/>
                <w:sz w:val="21"/>
                <w:szCs w:val="21"/>
                <w:vertAlign w:val="baseline"/>
                <w:lang w:val="en-US" w:eastAsia="zh-CN" w:bidi="ar-SA"/>
              </w:rPr>
            </w:pPr>
          </w:p>
        </w:tc>
        <w:tc>
          <w:tcPr>
            <w:tcW w:w="1232" w:type="dxa"/>
            <w:vAlign w:val="center"/>
          </w:tcPr>
          <w:p w14:paraId="5EA23233">
            <w:pPr>
              <w:keepNext w:val="0"/>
              <w:keepLines w:val="0"/>
              <w:pageBreakBefore w:val="0"/>
              <w:numPr>
                <w:ilvl w:val="0"/>
                <w:numId w:val="0"/>
              </w:numPr>
              <w:kinsoku/>
              <w:overflowPunct/>
              <w:topLinePunct w:val="0"/>
              <w:autoSpaceDE/>
              <w:autoSpaceDN/>
              <w:bidi w:val="0"/>
              <w:adjustRightInd/>
              <w:snapToGrid/>
              <w:spacing w:line="360" w:lineRule="auto"/>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千克</w:t>
            </w:r>
          </w:p>
        </w:tc>
        <w:tc>
          <w:tcPr>
            <w:tcW w:w="1733" w:type="dxa"/>
            <w:shd w:val="clear" w:color="auto" w:fill="auto"/>
            <w:vAlign w:val="center"/>
          </w:tcPr>
          <w:p w14:paraId="0E74D3C2">
            <w:pPr>
              <w:keepNext w:val="0"/>
              <w:keepLines w:val="0"/>
              <w:pageBreakBefore w:val="0"/>
              <w:widowControl/>
              <w:suppressLineNumbers w:val="0"/>
              <w:kinsoku/>
              <w:overflowPunct/>
              <w:topLinePunct w:val="0"/>
              <w:autoSpaceDE/>
              <w:autoSpaceDN/>
              <w:bidi w:val="0"/>
              <w:adjustRightInd/>
              <w:snapToGrid/>
              <w:spacing w:line="360" w:lineRule="auto"/>
              <w:jc w:val="center"/>
              <w:textAlignment w:val="center"/>
              <w:rPr>
                <w:rFonts w:hint="default"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i w:val="0"/>
                <w:iCs w:val="0"/>
                <w:color w:val="000000"/>
                <w:kern w:val="0"/>
                <w:sz w:val="21"/>
                <w:szCs w:val="21"/>
                <w:u w:val="none"/>
                <w:lang w:val="en-US" w:eastAsia="zh-CN" w:bidi="ar"/>
              </w:rPr>
              <w:t>500</w:t>
            </w:r>
          </w:p>
        </w:tc>
        <w:tc>
          <w:tcPr>
            <w:tcW w:w="1890" w:type="dxa"/>
            <w:shd w:val="clear" w:color="auto" w:fill="auto"/>
            <w:vAlign w:val="center"/>
          </w:tcPr>
          <w:p w14:paraId="387E152B">
            <w:pPr>
              <w:keepNext w:val="0"/>
              <w:keepLines w:val="0"/>
              <w:pageBreakBefore w:val="0"/>
              <w:widowControl/>
              <w:suppressLineNumbers w:val="0"/>
              <w:kinsoku/>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1890" w:type="dxa"/>
            <w:shd w:val="clear" w:color="auto" w:fill="auto"/>
            <w:vAlign w:val="center"/>
          </w:tcPr>
          <w:p w14:paraId="17E8CA7A">
            <w:pPr>
              <w:keepNext w:val="0"/>
              <w:keepLines w:val="0"/>
              <w:pageBreakBefore w:val="0"/>
              <w:widowControl/>
              <w:suppressLineNumbers w:val="0"/>
              <w:kinsoku/>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1890" w:type="dxa"/>
            <w:shd w:val="clear" w:color="auto" w:fill="auto"/>
            <w:vAlign w:val="center"/>
          </w:tcPr>
          <w:p w14:paraId="2F843B46">
            <w:pPr>
              <w:keepNext w:val="0"/>
              <w:keepLines w:val="0"/>
              <w:pageBreakBefore w:val="0"/>
              <w:widowControl/>
              <w:suppressLineNumbers w:val="0"/>
              <w:kinsoku/>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000000"/>
                <w:kern w:val="0"/>
                <w:sz w:val="21"/>
                <w:szCs w:val="21"/>
                <w:u w:val="none"/>
                <w:lang w:val="en-US" w:eastAsia="zh-CN" w:bidi="ar"/>
              </w:rPr>
            </w:pPr>
          </w:p>
        </w:tc>
      </w:tr>
      <w:tr w14:paraId="71826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14170" w:type="dxa"/>
            <w:gridSpan w:val="8"/>
            <w:vAlign w:val="center"/>
          </w:tcPr>
          <w:p w14:paraId="5A07F54B">
            <w:pPr>
              <w:keepNext w:val="0"/>
              <w:keepLines w:val="0"/>
              <w:pageBreakBefore w:val="0"/>
              <w:widowControl/>
              <w:suppressLineNumbers w:val="0"/>
              <w:kinsoku/>
              <w:overflowPunct/>
              <w:topLinePunct w:val="0"/>
              <w:autoSpaceDE/>
              <w:autoSpaceDN/>
              <w:bidi w:val="0"/>
              <w:adjustRightInd/>
              <w:snapToGrid/>
              <w:spacing w:line="360" w:lineRule="auto"/>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color w:val="000000"/>
                <w:kern w:val="0"/>
                <w:sz w:val="24"/>
                <w:szCs w:val="24"/>
                <w:vertAlign w:val="baseline"/>
                <w:lang w:val="en-US" w:eastAsia="zh-CN"/>
              </w:rPr>
              <w:t xml:space="preserve">合计 ¥______________元       （大写RMB）_________________________         </w:t>
            </w:r>
          </w:p>
        </w:tc>
      </w:tr>
      <w:tr w14:paraId="6E9E1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170" w:type="dxa"/>
            <w:gridSpan w:val="8"/>
            <w:vAlign w:val="center"/>
          </w:tcPr>
          <w:p w14:paraId="40878462">
            <w:pPr>
              <w:keepNext w:val="0"/>
              <w:keepLines w:val="0"/>
              <w:pageBreakBefore w:val="0"/>
              <w:widowControl/>
              <w:suppressLineNumbers w:val="0"/>
              <w:kinsoku/>
              <w:overflowPunct/>
              <w:topLinePunct w:val="0"/>
              <w:autoSpaceDE/>
              <w:autoSpaceDN/>
              <w:bidi w:val="0"/>
              <w:adjustRightInd/>
              <w:snapToGrid/>
              <w:spacing w:line="360" w:lineRule="auto"/>
              <w:jc w:val="left"/>
              <w:textAlignment w:val="auto"/>
              <w:rPr>
                <w:rFonts w:hint="eastAsia" w:ascii="宋体" w:hAnsi="宋体" w:eastAsia="宋体" w:cs="宋体"/>
                <w:b w:val="0"/>
                <w:bCs w:val="0"/>
                <w:color w:val="auto"/>
                <w:kern w:val="0"/>
                <w:sz w:val="24"/>
                <w:szCs w:val="24"/>
                <w:vertAlign w:val="baseline"/>
                <w:lang w:val="en-US" w:eastAsia="zh-CN"/>
              </w:rPr>
            </w:pPr>
            <w:r>
              <w:rPr>
                <w:rFonts w:hint="eastAsia" w:ascii="宋体" w:hAnsi="宋体" w:eastAsia="宋体" w:cs="宋体"/>
                <w:b w:val="0"/>
                <w:bCs w:val="0"/>
                <w:color w:val="auto"/>
                <w:kern w:val="0"/>
                <w:sz w:val="24"/>
                <w:szCs w:val="24"/>
                <w:vertAlign w:val="baseline"/>
                <w:lang w:val="en-US" w:eastAsia="zh-CN"/>
              </w:rPr>
              <w:t>备注：</w:t>
            </w:r>
          </w:p>
          <w:p w14:paraId="7BB85B3C">
            <w:pPr>
              <w:keepNext w:val="0"/>
              <w:keepLines w:val="0"/>
              <w:pageBreakBefore w:val="0"/>
              <w:widowControl/>
              <w:suppressLineNumbers w:val="0"/>
              <w:kinsoku/>
              <w:overflowPunct/>
              <w:topLinePunct w:val="0"/>
              <w:autoSpaceDE/>
              <w:autoSpaceDN/>
              <w:bidi w:val="0"/>
              <w:adjustRightInd/>
              <w:snapToGrid/>
              <w:spacing w:line="360" w:lineRule="auto"/>
              <w:jc w:val="left"/>
              <w:textAlignment w:val="auto"/>
              <w:rPr>
                <w:rFonts w:hint="default"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（1）产品及服务要求详见附件；</w:t>
            </w:r>
          </w:p>
          <w:p w14:paraId="1FF4C0AE">
            <w:pPr>
              <w:keepNext w:val="0"/>
              <w:keepLines w:val="0"/>
              <w:pageBreakBefore w:val="0"/>
              <w:widowControl/>
              <w:suppressLineNumbers w:val="0"/>
              <w:kinsoku/>
              <w:overflowPunct/>
              <w:topLinePunct w:val="0"/>
              <w:autoSpaceDE/>
              <w:autoSpaceDN/>
              <w:bidi w:val="0"/>
              <w:adjustRightInd/>
              <w:snapToGrid/>
              <w:spacing w:line="360" w:lineRule="auto"/>
              <w:jc w:val="left"/>
              <w:textAlignment w:val="auto"/>
              <w:rPr>
                <w:rFonts w:hint="default"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（2）按要求提供产品试用；</w:t>
            </w:r>
          </w:p>
          <w:p w14:paraId="4703BC59">
            <w:pPr>
              <w:keepNext w:val="0"/>
              <w:keepLines w:val="0"/>
              <w:pageBreakBefore w:val="0"/>
              <w:widowControl/>
              <w:suppressLineNumbers w:val="0"/>
              <w:kinsoku/>
              <w:overflowPunct/>
              <w:topLinePunct w:val="0"/>
              <w:autoSpaceDE/>
              <w:autoSpaceDN/>
              <w:bidi w:val="0"/>
              <w:adjustRightInd/>
              <w:snapToGrid/>
              <w:spacing w:line="360" w:lineRule="auto"/>
              <w:jc w:val="left"/>
              <w:textAlignment w:val="center"/>
              <w:rPr>
                <w:rFonts w:hint="eastAsia" w:ascii="宋体" w:hAnsi="宋体" w:eastAsia="宋体" w:cs="宋体"/>
                <w:b w:val="0"/>
                <w:bCs w:val="0"/>
                <w:color w:val="auto"/>
                <w:kern w:val="0"/>
                <w:sz w:val="21"/>
                <w:szCs w:val="21"/>
                <w:vertAlign w:val="baseline"/>
                <w:lang w:val="en-US" w:eastAsia="zh-CN"/>
              </w:rPr>
            </w:pPr>
            <w:r>
              <w:rPr>
                <w:rFonts w:hint="eastAsia" w:ascii="宋体" w:hAnsi="宋体" w:eastAsia="宋体" w:cs="宋体"/>
                <w:color w:val="auto"/>
                <w:kern w:val="0"/>
                <w:sz w:val="24"/>
                <w:szCs w:val="24"/>
                <w:lang w:val="en-US" w:eastAsia="zh-CN" w:bidi="ar"/>
              </w:rPr>
              <w:t>（3）报价为包干总价，为报价人完成采购项目全部义务的总价格，包括但不限于购买标的的费用、运输费、仓储费、保险费、装卸费、配套资料费、安装调试费用、验收时的试剂耗材、强制性第三方监督检验机构的验收检验费、 培训费用、税费以及售后服务费用等全部费用。所报价格不得高于预算金额或最高限价。</w:t>
            </w:r>
          </w:p>
        </w:tc>
      </w:tr>
    </w:tbl>
    <w:p w14:paraId="56722CBD">
      <w:pPr>
        <w:rPr>
          <w:rFonts w:hint="eastAsia" w:ascii="宋体" w:hAnsi="宋体" w:eastAsia="宋体" w:cs="宋体"/>
          <w:b/>
          <w:bCs/>
          <w:kern w:val="2"/>
          <w:sz w:val="24"/>
          <w:szCs w:val="24"/>
          <w:vertAlign w:val="baseline"/>
          <w:lang w:val="en-US" w:eastAsia="zh-CN" w:bidi="ar-SA"/>
        </w:rPr>
        <w:sectPr>
          <w:pgSz w:w="16838" w:h="11906" w:orient="landscape"/>
          <w:pgMar w:top="1440" w:right="1800" w:bottom="1440" w:left="1800" w:header="851" w:footer="992" w:gutter="0"/>
          <w:cols w:space="0" w:num="1"/>
          <w:rtlGutter w:val="0"/>
          <w:docGrid w:type="lines" w:linePitch="319" w:charSpace="0"/>
        </w:sectPr>
      </w:pPr>
    </w:p>
    <w:p w14:paraId="70347A4F">
      <w:pPr>
        <w:jc w:val="both"/>
        <w:rPr>
          <w:rFonts w:hint="default" w:ascii="宋体" w:hAnsi="宋体" w:eastAsia="宋体" w:cs="宋体"/>
          <w:b/>
          <w:bCs/>
          <w:kern w:val="2"/>
          <w:sz w:val="24"/>
          <w:szCs w:val="24"/>
          <w:vertAlign w:val="baseline"/>
          <w:lang w:val="en-US" w:eastAsia="zh-CN" w:bidi="ar-SA"/>
        </w:rPr>
      </w:pPr>
      <w:r>
        <w:rPr>
          <w:rFonts w:hint="eastAsia" w:ascii="宋体" w:hAnsi="宋体" w:eastAsia="宋体" w:cs="宋体"/>
          <w:b/>
          <w:bCs/>
          <w:kern w:val="2"/>
          <w:sz w:val="24"/>
          <w:szCs w:val="24"/>
          <w:vertAlign w:val="baseline"/>
          <w:lang w:val="en-US" w:eastAsia="zh-CN" w:bidi="ar-SA"/>
        </w:rPr>
        <w:t>附件：中山大学附属第一医院垫料、巢料片及葵花籽等采购项目需求</w:t>
      </w:r>
    </w:p>
    <w:p w14:paraId="61231E1D">
      <w:pPr>
        <w:keepNext w:val="0"/>
        <w:keepLines w:val="0"/>
        <w:pageBreakBefore w:val="0"/>
        <w:kinsoku/>
        <w:overflowPunct/>
        <w:topLinePunct w:val="0"/>
        <w:autoSpaceDE/>
        <w:autoSpaceDN/>
        <w:bidi w:val="0"/>
        <w:adjustRightInd/>
        <w:snapToGrid/>
        <w:spacing w:line="360" w:lineRule="auto"/>
        <w:jc w:val="center"/>
        <w:rPr>
          <w:rFonts w:hint="eastAsia" w:ascii="宋体" w:hAnsi="宋体" w:eastAsia="宋体" w:cs="宋体"/>
          <w:b/>
          <w:bCs/>
          <w:kern w:val="2"/>
          <w:sz w:val="24"/>
          <w:szCs w:val="24"/>
          <w:vertAlign w:val="baseline"/>
          <w:lang w:val="en-US" w:eastAsia="zh-CN" w:bidi="ar-SA"/>
        </w:rPr>
      </w:pPr>
    </w:p>
    <w:p w14:paraId="43248669">
      <w:pPr>
        <w:keepNext w:val="0"/>
        <w:keepLines w:val="0"/>
        <w:pageBreakBefore w:val="0"/>
        <w:widowControl/>
        <w:kinsoku/>
        <w:wordWrap w:val="0"/>
        <w:overflowPunct/>
        <w:topLinePunct w:val="0"/>
        <w:autoSpaceDE/>
        <w:autoSpaceDN/>
        <w:bidi w:val="0"/>
        <w:adjustRightInd/>
        <w:snapToGrid/>
        <w:spacing w:line="360" w:lineRule="auto"/>
        <w:jc w:val="left"/>
        <w:rPr>
          <w:rFonts w:hint="eastAsia" w:ascii="宋体" w:hAnsi="宋体" w:eastAsia="宋体" w:cs="宋体"/>
          <w:b/>
          <w:bCs/>
          <w:color w:val="000000"/>
          <w:kern w:val="0"/>
          <w:sz w:val="21"/>
          <w:szCs w:val="21"/>
          <w:lang w:val="en-US" w:eastAsia="zh-CN"/>
        </w:rPr>
      </w:pPr>
      <w:r>
        <w:rPr>
          <w:rFonts w:hint="eastAsia" w:ascii="宋体" w:hAnsi="宋体" w:eastAsia="宋体" w:cs="宋体"/>
          <w:b/>
          <w:bCs/>
          <w:color w:val="000000"/>
          <w:kern w:val="0"/>
          <w:sz w:val="21"/>
          <w:szCs w:val="21"/>
          <w:lang w:val="en-US" w:eastAsia="zh-CN"/>
        </w:rPr>
        <w:t>一、采购货物清单</w:t>
      </w:r>
    </w:p>
    <w:tbl>
      <w:tblPr>
        <w:tblStyle w:val="5"/>
        <w:tblW w:w="0" w:type="auto"/>
        <w:tblInd w:w="-5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6"/>
        <w:gridCol w:w="2579"/>
        <w:gridCol w:w="1419"/>
        <w:gridCol w:w="1880"/>
        <w:gridCol w:w="2355"/>
      </w:tblGrid>
      <w:tr w14:paraId="2D004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6" w:type="dxa"/>
          </w:tcPr>
          <w:p w14:paraId="796D90BA">
            <w:pPr>
              <w:keepNext w:val="0"/>
              <w:keepLines w:val="0"/>
              <w:pageBreakBefore w:val="0"/>
              <w:numPr>
                <w:ilvl w:val="0"/>
                <w:numId w:val="0"/>
              </w:numPr>
              <w:kinsoku/>
              <w:overflowPunct/>
              <w:topLinePunct w:val="0"/>
              <w:autoSpaceDE/>
              <w:autoSpaceDN/>
              <w:bidi w:val="0"/>
              <w:adjustRightInd/>
              <w:snapToGrid/>
              <w:spacing w:line="360" w:lineRule="auto"/>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序号</w:t>
            </w:r>
          </w:p>
        </w:tc>
        <w:tc>
          <w:tcPr>
            <w:tcW w:w="2579" w:type="dxa"/>
          </w:tcPr>
          <w:p w14:paraId="6AB3C0BD">
            <w:pPr>
              <w:keepNext w:val="0"/>
              <w:keepLines w:val="0"/>
              <w:pageBreakBefore w:val="0"/>
              <w:numPr>
                <w:ilvl w:val="0"/>
                <w:numId w:val="0"/>
              </w:numPr>
              <w:kinsoku/>
              <w:overflowPunct/>
              <w:topLinePunct w:val="0"/>
              <w:autoSpaceDE/>
              <w:autoSpaceDN/>
              <w:bidi w:val="0"/>
              <w:adjustRightInd/>
              <w:snapToGrid/>
              <w:spacing w:line="360" w:lineRule="auto"/>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货物名称</w:t>
            </w:r>
          </w:p>
        </w:tc>
        <w:tc>
          <w:tcPr>
            <w:tcW w:w="1419" w:type="dxa"/>
          </w:tcPr>
          <w:p w14:paraId="57292F46">
            <w:pPr>
              <w:keepNext w:val="0"/>
              <w:keepLines w:val="0"/>
              <w:pageBreakBefore w:val="0"/>
              <w:numPr>
                <w:ilvl w:val="0"/>
                <w:numId w:val="0"/>
              </w:numPr>
              <w:kinsoku/>
              <w:overflowPunct/>
              <w:topLinePunct w:val="0"/>
              <w:autoSpaceDE/>
              <w:autoSpaceDN/>
              <w:bidi w:val="0"/>
              <w:adjustRightInd/>
              <w:snapToGrid/>
              <w:spacing w:line="360" w:lineRule="auto"/>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规格型号</w:t>
            </w:r>
          </w:p>
        </w:tc>
        <w:tc>
          <w:tcPr>
            <w:tcW w:w="1880" w:type="dxa"/>
            <w:shd w:val="clear" w:color="auto" w:fill="auto"/>
            <w:vAlign w:val="top"/>
          </w:tcPr>
          <w:p w14:paraId="065F79D8">
            <w:pPr>
              <w:keepNext w:val="0"/>
              <w:keepLines w:val="0"/>
              <w:pageBreakBefore w:val="0"/>
              <w:numPr>
                <w:ilvl w:val="0"/>
                <w:numId w:val="0"/>
              </w:numPr>
              <w:kinsoku/>
              <w:overflowPunct/>
              <w:topLinePunct w:val="0"/>
              <w:autoSpaceDE/>
              <w:autoSpaceDN/>
              <w:bidi w:val="0"/>
              <w:adjustRightInd/>
              <w:snapToGrid/>
              <w:spacing w:line="360" w:lineRule="auto"/>
              <w:ind w:left="0" w:leftChars="0" w:firstLine="0" w:firstLineChars="0"/>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单位</w:t>
            </w:r>
          </w:p>
        </w:tc>
        <w:tc>
          <w:tcPr>
            <w:tcW w:w="2355" w:type="dxa"/>
            <w:shd w:val="clear" w:color="auto" w:fill="auto"/>
            <w:vAlign w:val="top"/>
          </w:tcPr>
          <w:p w14:paraId="1B3B9398">
            <w:pPr>
              <w:keepNext w:val="0"/>
              <w:keepLines w:val="0"/>
              <w:pageBreakBefore w:val="0"/>
              <w:numPr>
                <w:ilvl w:val="0"/>
                <w:numId w:val="0"/>
              </w:numPr>
              <w:kinsoku/>
              <w:overflowPunct/>
              <w:topLinePunct w:val="0"/>
              <w:autoSpaceDE/>
              <w:autoSpaceDN/>
              <w:bidi w:val="0"/>
              <w:adjustRightInd/>
              <w:snapToGrid/>
              <w:spacing w:line="360" w:lineRule="auto"/>
              <w:ind w:left="0" w:leftChars="0" w:firstLine="0" w:firstLineChars="0"/>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数量</w:t>
            </w:r>
          </w:p>
        </w:tc>
      </w:tr>
      <w:tr w14:paraId="3396C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856" w:type="dxa"/>
            <w:vAlign w:val="center"/>
          </w:tcPr>
          <w:p w14:paraId="75614996">
            <w:pPr>
              <w:keepNext w:val="0"/>
              <w:keepLines w:val="0"/>
              <w:pageBreakBefore w:val="0"/>
              <w:numPr>
                <w:ilvl w:val="0"/>
                <w:numId w:val="0"/>
              </w:numPr>
              <w:kinsoku/>
              <w:overflowPunct/>
              <w:topLinePunct w:val="0"/>
              <w:autoSpaceDE/>
              <w:autoSpaceDN/>
              <w:bidi w:val="0"/>
              <w:adjustRightInd/>
              <w:snapToGrid/>
              <w:spacing w:line="360" w:lineRule="auto"/>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1</w:t>
            </w:r>
          </w:p>
        </w:tc>
        <w:tc>
          <w:tcPr>
            <w:tcW w:w="2579" w:type="dxa"/>
            <w:vAlign w:val="center"/>
          </w:tcPr>
          <w:p w14:paraId="0E3B7F9B">
            <w:pPr>
              <w:keepNext w:val="0"/>
              <w:keepLines w:val="0"/>
              <w:pageBreakBefore w:val="0"/>
              <w:numPr>
                <w:ilvl w:val="0"/>
                <w:numId w:val="0"/>
              </w:numPr>
              <w:kinsoku/>
              <w:overflowPunct/>
              <w:topLinePunct w:val="0"/>
              <w:autoSpaceDE/>
              <w:autoSpaceDN/>
              <w:bidi w:val="0"/>
              <w:adjustRightInd/>
              <w:snapToGrid/>
              <w:spacing w:line="360" w:lineRule="auto"/>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实验动物玉米芯垫料</w:t>
            </w:r>
          </w:p>
        </w:tc>
        <w:tc>
          <w:tcPr>
            <w:tcW w:w="1419" w:type="dxa"/>
            <w:vMerge w:val="restart"/>
            <w:vAlign w:val="center"/>
          </w:tcPr>
          <w:p w14:paraId="66E5D17C">
            <w:pPr>
              <w:keepNext w:val="0"/>
              <w:keepLines w:val="0"/>
              <w:pageBreakBefore w:val="0"/>
              <w:numPr>
                <w:ilvl w:val="0"/>
                <w:numId w:val="0"/>
              </w:numPr>
              <w:kinsoku/>
              <w:overflowPunct/>
              <w:topLinePunct w:val="0"/>
              <w:autoSpaceDE/>
              <w:autoSpaceDN/>
              <w:bidi w:val="0"/>
              <w:adjustRightInd/>
              <w:snapToGrid/>
              <w:spacing w:line="360" w:lineRule="auto"/>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详见技术参数</w:t>
            </w:r>
          </w:p>
        </w:tc>
        <w:tc>
          <w:tcPr>
            <w:tcW w:w="1880" w:type="dxa"/>
            <w:vAlign w:val="center"/>
          </w:tcPr>
          <w:p w14:paraId="1260AF0E">
            <w:pPr>
              <w:keepNext w:val="0"/>
              <w:keepLines w:val="0"/>
              <w:pageBreakBefore w:val="0"/>
              <w:numPr>
                <w:ilvl w:val="0"/>
                <w:numId w:val="0"/>
              </w:numPr>
              <w:kinsoku/>
              <w:overflowPunct/>
              <w:topLinePunct w:val="0"/>
              <w:autoSpaceDE/>
              <w:autoSpaceDN/>
              <w:bidi w:val="0"/>
              <w:adjustRightInd/>
              <w:snapToGrid/>
              <w:spacing w:line="360" w:lineRule="auto"/>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千克</w:t>
            </w:r>
          </w:p>
        </w:tc>
        <w:tc>
          <w:tcPr>
            <w:tcW w:w="2355" w:type="dxa"/>
            <w:shd w:val="clear" w:color="auto" w:fill="auto"/>
            <w:vAlign w:val="center"/>
          </w:tcPr>
          <w:p w14:paraId="4B9CA294">
            <w:pPr>
              <w:keepNext w:val="0"/>
              <w:keepLines w:val="0"/>
              <w:pageBreakBefore w:val="0"/>
              <w:widowControl/>
              <w:suppressLineNumbers w:val="0"/>
              <w:kinsoku/>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i w:val="0"/>
                <w:iCs w:val="0"/>
                <w:color w:val="000000"/>
                <w:kern w:val="0"/>
                <w:sz w:val="21"/>
                <w:szCs w:val="21"/>
                <w:u w:val="none"/>
                <w:lang w:val="en-US" w:eastAsia="zh-CN" w:bidi="ar"/>
              </w:rPr>
              <w:t>30000</w:t>
            </w:r>
          </w:p>
        </w:tc>
      </w:tr>
      <w:tr w14:paraId="12091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vAlign w:val="center"/>
          </w:tcPr>
          <w:p w14:paraId="418DBC08">
            <w:pPr>
              <w:keepNext w:val="0"/>
              <w:keepLines w:val="0"/>
              <w:pageBreakBefore w:val="0"/>
              <w:numPr>
                <w:ilvl w:val="0"/>
                <w:numId w:val="0"/>
              </w:numPr>
              <w:kinsoku/>
              <w:overflowPunct/>
              <w:topLinePunct w:val="0"/>
              <w:autoSpaceDE/>
              <w:autoSpaceDN/>
              <w:bidi w:val="0"/>
              <w:adjustRightInd/>
              <w:snapToGrid/>
              <w:spacing w:line="360" w:lineRule="auto"/>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2</w:t>
            </w:r>
          </w:p>
        </w:tc>
        <w:tc>
          <w:tcPr>
            <w:tcW w:w="2579" w:type="dxa"/>
            <w:vAlign w:val="center"/>
          </w:tcPr>
          <w:p w14:paraId="03DF50DD">
            <w:pPr>
              <w:keepNext w:val="0"/>
              <w:keepLines w:val="0"/>
              <w:pageBreakBefore w:val="0"/>
              <w:numPr>
                <w:ilvl w:val="0"/>
                <w:numId w:val="0"/>
              </w:numPr>
              <w:kinsoku/>
              <w:overflowPunct/>
              <w:topLinePunct w:val="0"/>
              <w:autoSpaceDE/>
              <w:autoSpaceDN/>
              <w:bidi w:val="0"/>
              <w:adjustRightInd/>
              <w:snapToGrid/>
              <w:spacing w:line="360" w:lineRule="auto"/>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lang w:val="en-US" w:eastAsia="zh-CN"/>
              </w:rPr>
              <w:t>巢料片（</w:t>
            </w:r>
            <w:r>
              <w:rPr>
                <w:rFonts w:hint="eastAsia" w:ascii="宋体" w:hAnsi="宋体" w:eastAsia="宋体" w:cs="宋体"/>
                <w:b w:val="0"/>
                <w:bCs w:val="0"/>
                <w:color w:val="000000"/>
                <w:kern w:val="0"/>
                <w:sz w:val="21"/>
                <w:szCs w:val="21"/>
              </w:rPr>
              <w:t>实验动物纸质垫料纸棒</w:t>
            </w:r>
            <w:r>
              <w:rPr>
                <w:rFonts w:hint="eastAsia" w:ascii="宋体" w:hAnsi="宋体" w:eastAsia="宋体" w:cs="宋体"/>
                <w:b w:val="0"/>
                <w:bCs w:val="0"/>
                <w:color w:val="000000"/>
                <w:kern w:val="0"/>
                <w:sz w:val="21"/>
                <w:szCs w:val="21"/>
                <w:lang w:eastAsia="zh-CN"/>
              </w:rPr>
              <w:t>）</w:t>
            </w:r>
          </w:p>
        </w:tc>
        <w:tc>
          <w:tcPr>
            <w:tcW w:w="1419" w:type="dxa"/>
            <w:vMerge w:val="continue"/>
            <w:vAlign w:val="center"/>
          </w:tcPr>
          <w:p w14:paraId="579B02E7">
            <w:pPr>
              <w:keepNext w:val="0"/>
              <w:keepLines w:val="0"/>
              <w:pageBreakBefore w:val="0"/>
              <w:numPr>
                <w:ilvl w:val="0"/>
                <w:numId w:val="0"/>
              </w:numPr>
              <w:kinsoku/>
              <w:overflowPunct/>
              <w:topLinePunct w:val="0"/>
              <w:autoSpaceDE/>
              <w:autoSpaceDN/>
              <w:bidi w:val="0"/>
              <w:adjustRightInd/>
              <w:snapToGrid/>
              <w:spacing w:line="360" w:lineRule="auto"/>
              <w:jc w:val="center"/>
              <w:rPr>
                <w:rFonts w:hint="eastAsia" w:ascii="宋体" w:hAnsi="宋体" w:eastAsia="宋体" w:cs="宋体"/>
                <w:b w:val="0"/>
                <w:bCs w:val="0"/>
                <w:kern w:val="2"/>
                <w:sz w:val="21"/>
                <w:szCs w:val="21"/>
                <w:vertAlign w:val="baseline"/>
                <w:lang w:val="en-US" w:eastAsia="zh-CN" w:bidi="ar-SA"/>
              </w:rPr>
            </w:pPr>
          </w:p>
        </w:tc>
        <w:tc>
          <w:tcPr>
            <w:tcW w:w="1880" w:type="dxa"/>
            <w:vAlign w:val="center"/>
          </w:tcPr>
          <w:p w14:paraId="1039E17E">
            <w:pPr>
              <w:keepNext w:val="0"/>
              <w:keepLines w:val="0"/>
              <w:pageBreakBefore w:val="0"/>
              <w:numPr>
                <w:ilvl w:val="0"/>
                <w:numId w:val="0"/>
              </w:numPr>
              <w:kinsoku/>
              <w:overflowPunct/>
              <w:topLinePunct w:val="0"/>
              <w:autoSpaceDE/>
              <w:autoSpaceDN/>
              <w:bidi w:val="0"/>
              <w:adjustRightInd/>
              <w:snapToGrid/>
              <w:spacing w:line="360" w:lineRule="auto"/>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千克</w:t>
            </w:r>
          </w:p>
        </w:tc>
        <w:tc>
          <w:tcPr>
            <w:tcW w:w="2355" w:type="dxa"/>
            <w:shd w:val="clear" w:color="auto" w:fill="auto"/>
            <w:vAlign w:val="center"/>
          </w:tcPr>
          <w:p w14:paraId="1FA803F6">
            <w:pPr>
              <w:keepNext w:val="0"/>
              <w:keepLines w:val="0"/>
              <w:pageBreakBefore w:val="0"/>
              <w:widowControl/>
              <w:suppressLineNumbers w:val="0"/>
              <w:kinsoku/>
              <w:overflowPunct/>
              <w:topLinePunct w:val="0"/>
              <w:autoSpaceDE/>
              <w:autoSpaceDN/>
              <w:bidi w:val="0"/>
              <w:adjustRightInd/>
              <w:snapToGrid/>
              <w:spacing w:line="360" w:lineRule="auto"/>
              <w:jc w:val="center"/>
              <w:textAlignment w:val="center"/>
              <w:rPr>
                <w:rFonts w:hint="default"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i w:val="0"/>
                <w:iCs w:val="0"/>
                <w:color w:val="000000"/>
                <w:kern w:val="0"/>
                <w:sz w:val="21"/>
                <w:szCs w:val="21"/>
                <w:u w:val="none"/>
                <w:lang w:val="en-US" w:eastAsia="zh-CN" w:bidi="ar"/>
              </w:rPr>
              <w:t>250</w:t>
            </w:r>
          </w:p>
        </w:tc>
      </w:tr>
      <w:tr w14:paraId="6D406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856" w:type="dxa"/>
            <w:vAlign w:val="center"/>
          </w:tcPr>
          <w:p w14:paraId="1DE18AA7">
            <w:pPr>
              <w:keepNext w:val="0"/>
              <w:keepLines w:val="0"/>
              <w:pageBreakBefore w:val="0"/>
              <w:numPr>
                <w:ilvl w:val="0"/>
                <w:numId w:val="0"/>
              </w:numPr>
              <w:kinsoku/>
              <w:overflowPunct/>
              <w:topLinePunct w:val="0"/>
              <w:autoSpaceDE/>
              <w:autoSpaceDN/>
              <w:bidi w:val="0"/>
              <w:adjustRightInd/>
              <w:snapToGrid/>
              <w:spacing w:line="360" w:lineRule="auto"/>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3</w:t>
            </w:r>
          </w:p>
        </w:tc>
        <w:tc>
          <w:tcPr>
            <w:tcW w:w="2579" w:type="dxa"/>
            <w:vAlign w:val="center"/>
          </w:tcPr>
          <w:p w14:paraId="1F9911CB">
            <w:pPr>
              <w:keepNext w:val="0"/>
              <w:keepLines w:val="0"/>
              <w:pageBreakBefore w:val="0"/>
              <w:numPr>
                <w:ilvl w:val="0"/>
                <w:numId w:val="0"/>
              </w:numPr>
              <w:kinsoku/>
              <w:overflowPunct/>
              <w:topLinePunct w:val="0"/>
              <w:autoSpaceDE/>
              <w:autoSpaceDN/>
              <w:bidi w:val="0"/>
              <w:adjustRightInd/>
              <w:snapToGrid/>
              <w:spacing w:line="360" w:lineRule="auto"/>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color w:val="000000"/>
                <w:kern w:val="0"/>
                <w:sz w:val="21"/>
                <w:szCs w:val="21"/>
                <w:lang w:val="en-US" w:eastAsia="zh-CN" w:bidi="ar"/>
              </w:rPr>
              <w:t>实验动物葵花籽</w:t>
            </w:r>
          </w:p>
        </w:tc>
        <w:tc>
          <w:tcPr>
            <w:tcW w:w="1419" w:type="dxa"/>
            <w:vMerge w:val="continue"/>
            <w:vAlign w:val="center"/>
          </w:tcPr>
          <w:p w14:paraId="25CAE7DC">
            <w:pPr>
              <w:keepNext w:val="0"/>
              <w:keepLines w:val="0"/>
              <w:pageBreakBefore w:val="0"/>
              <w:numPr>
                <w:ilvl w:val="0"/>
                <w:numId w:val="0"/>
              </w:numPr>
              <w:kinsoku/>
              <w:overflowPunct/>
              <w:topLinePunct w:val="0"/>
              <w:autoSpaceDE/>
              <w:autoSpaceDN/>
              <w:bidi w:val="0"/>
              <w:adjustRightInd/>
              <w:snapToGrid/>
              <w:spacing w:line="360" w:lineRule="auto"/>
              <w:jc w:val="center"/>
              <w:rPr>
                <w:rFonts w:hint="eastAsia" w:ascii="宋体" w:hAnsi="宋体" w:eastAsia="宋体" w:cs="宋体"/>
                <w:b w:val="0"/>
                <w:bCs w:val="0"/>
                <w:kern w:val="2"/>
                <w:sz w:val="21"/>
                <w:szCs w:val="21"/>
                <w:vertAlign w:val="baseline"/>
                <w:lang w:val="en-US" w:eastAsia="zh-CN" w:bidi="ar-SA"/>
              </w:rPr>
            </w:pPr>
          </w:p>
        </w:tc>
        <w:tc>
          <w:tcPr>
            <w:tcW w:w="1880" w:type="dxa"/>
            <w:vAlign w:val="center"/>
          </w:tcPr>
          <w:p w14:paraId="18B9CA20">
            <w:pPr>
              <w:keepNext w:val="0"/>
              <w:keepLines w:val="0"/>
              <w:pageBreakBefore w:val="0"/>
              <w:numPr>
                <w:ilvl w:val="0"/>
                <w:numId w:val="0"/>
              </w:numPr>
              <w:kinsoku/>
              <w:overflowPunct/>
              <w:topLinePunct w:val="0"/>
              <w:autoSpaceDE/>
              <w:autoSpaceDN/>
              <w:bidi w:val="0"/>
              <w:adjustRightInd/>
              <w:snapToGrid/>
              <w:spacing w:line="360" w:lineRule="auto"/>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千克</w:t>
            </w:r>
          </w:p>
        </w:tc>
        <w:tc>
          <w:tcPr>
            <w:tcW w:w="2355" w:type="dxa"/>
            <w:shd w:val="clear" w:color="auto" w:fill="auto"/>
            <w:vAlign w:val="center"/>
          </w:tcPr>
          <w:p w14:paraId="3D9FE468">
            <w:pPr>
              <w:keepNext w:val="0"/>
              <w:keepLines w:val="0"/>
              <w:pageBreakBefore w:val="0"/>
              <w:widowControl/>
              <w:suppressLineNumbers w:val="0"/>
              <w:kinsoku/>
              <w:overflowPunct/>
              <w:topLinePunct w:val="0"/>
              <w:autoSpaceDE/>
              <w:autoSpaceDN/>
              <w:bidi w:val="0"/>
              <w:adjustRightInd/>
              <w:snapToGrid/>
              <w:spacing w:line="360" w:lineRule="auto"/>
              <w:jc w:val="center"/>
              <w:textAlignment w:val="center"/>
              <w:rPr>
                <w:rFonts w:hint="default"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i w:val="0"/>
                <w:iCs w:val="0"/>
                <w:color w:val="000000"/>
                <w:kern w:val="0"/>
                <w:sz w:val="21"/>
                <w:szCs w:val="21"/>
                <w:u w:val="none"/>
                <w:lang w:val="en-US" w:eastAsia="zh-CN" w:bidi="ar"/>
              </w:rPr>
              <w:t>200</w:t>
            </w:r>
          </w:p>
        </w:tc>
      </w:tr>
      <w:tr w14:paraId="4D894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856" w:type="dxa"/>
            <w:vAlign w:val="center"/>
          </w:tcPr>
          <w:p w14:paraId="13CC422F">
            <w:pPr>
              <w:keepNext w:val="0"/>
              <w:keepLines w:val="0"/>
              <w:pageBreakBefore w:val="0"/>
              <w:numPr>
                <w:ilvl w:val="0"/>
                <w:numId w:val="0"/>
              </w:numPr>
              <w:kinsoku/>
              <w:overflowPunct/>
              <w:topLinePunct w:val="0"/>
              <w:autoSpaceDE/>
              <w:autoSpaceDN/>
              <w:bidi w:val="0"/>
              <w:adjustRightInd/>
              <w:snapToGrid/>
              <w:spacing w:line="360" w:lineRule="auto"/>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4</w:t>
            </w:r>
          </w:p>
        </w:tc>
        <w:tc>
          <w:tcPr>
            <w:tcW w:w="2579" w:type="dxa"/>
            <w:vAlign w:val="center"/>
          </w:tcPr>
          <w:p w14:paraId="5F13C912">
            <w:pPr>
              <w:keepNext w:val="0"/>
              <w:keepLines w:val="0"/>
              <w:pageBreakBefore w:val="0"/>
              <w:numPr>
                <w:ilvl w:val="0"/>
                <w:numId w:val="0"/>
              </w:numPr>
              <w:kinsoku/>
              <w:overflowPunct/>
              <w:topLinePunct w:val="0"/>
              <w:autoSpaceDE/>
              <w:autoSpaceDN/>
              <w:bidi w:val="0"/>
              <w:adjustRightInd/>
              <w:snapToGrid/>
              <w:spacing w:line="360" w:lineRule="auto"/>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实验用压缩刨花垫料</w:t>
            </w:r>
          </w:p>
        </w:tc>
        <w:tc>
          <w:tcPr>
            <w:tcW w:w="1419" w:type="dxa"/>
            <w:vMerge w:val="continue"/>
            <w:vAlign w:val="center"/>
          </w:tcPr>
          <w:p w14:paraId="21CEBC36">
            <w:pPr>
              <w:keepNext w:val="0"/>
              <w:keepLines w:val="0"/>
              <w:pageBreakBefore w:val="0"/>
              <w:numPr>
                <w:ilvl w:val="0"/>
                <w:numId w:val="0"/>
              </w:numPr>
              <w:kinsoku/>
              <w:overflowPunct/>
              <w:topLinePunct w:val="0"/>
              <w:autoSpaceDE/>
              <w:autoSpaceDN/>
              <w:bidi w:val="0"/>
              <w:adjustRightInd/>
              <w:snapToGrid/>
              <w:spacing w:line="360" w:lineRule="auto"/>
              <w:jc w:val="center"/>
              <w:rPr>
                <w:rFonts w:hint="eastAsia" w:ascii="宋体" w:hAnsi="宋体" w:eastAsia="宋体" w:cs="宋体"/>
                <w:b w:val="0"/>
                <w:bCs w:val="0"/>
                <w:kern w:val="2"/>
                <w:sz w:val="21"/>
                <w:szCs w:val="21"/>
                <w:vertAlign w:val="baseline"/>
                <w:lang w:val="en-US" w:eastAsia="zh-CN" w:bidi="ar-SA"/>
              </w:rPr>
            </w:pPr>
          </w:p>
        </w:tc>
        <w:tc>
          <w:tcPr>
            <w:tcW w:w="1880" w:type="dxa"/>
            <w:vAlign w:val="center"/>
          </w:tcPr>
          <w:p w14:paraId="0D14EC5D">
            <w:pPr>
              <w:keepNext w:val="0"/>
              <w:keepLines w:val="0"/>
              <w:pageBreakBefore w:val="0"/>
              <w:numPr>
                <w:ilvl w:val="0"/>
                <w:numId w:val="0"/>
              </w:numPr>
              <w:kinsoku/>
              <w:overflowPunct/>
              <w:topLinePunct w:val="0"/>
              <w:autoSpaceDE/>
              <w:autoSpaceDN/>
              <w:bidi w:val="0"/>
              <w:adjustRightInd/>
              <w:snapToGrid/>
              <w:spacing w:line="360" w:lineRule="auto"/>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kern w:val="2"/>
                <w:sz w:val="21"/>
                <w:szCs w:val="21"/>
                <w:vertAlign w:val="baseline"/>
                <w:lang w:val="en-US" w:eastAsia="zh-CN" w:bidi="ar-SA"/>
              </w:rPr>
              <w:t>千克</w:t>
            </w:r>
          </w:p>
        </w:tc>
        <w:tc>
          <w:tcPr>
            <w:tcW w:w="2355" w:type="dxa"/>
            <w:shd w:val="clear" w:color="auto" w:fill="auto"/>
            <w:vAlign w:val="center"/>
          </w:tcPr>
          <w:p w14:paraId="0818F8C0">
            <w:pPr>
              <w:keepNext w:val="0"/>
              <w:keepLines w:val="0"/>
              <w:pageBreakBefore w:val="0"/>
              <w:widowControl/>
              <w:suppressLineNumbers w:val="0"/>
              <w:kinsoku/>
              <w:overflowPunct/>
              <w:topLinePunct w:val="0"/>
              <w:autoSpaceDE/>
              <w:autoSpaceDN/>
              <w:bidi w:val="0"/>
              <w:adjustRightInd/>
              <w:snapToGrid/>
              <w:spacing w:line="360" w:lineRule="auto"/>
              <w:jc w:val="center"/>
              <w:textAlignment w:val="center"/>
              <w:rPr>
                <w:rFonts w:hint="default" w:ascii="宋体" w:hAnsi="宋体" w:eastAsia="宋体" w:cs="宋体"/>
                <w:b w:val="0"/>
                <w:bCs w:val="0"/>
                <w:i w:val="0"/>
                <w:iCs w:val="0"/>
                <w:color w:val="000000"/>
                <w:kern w:val="2"/>
                <w:sz w:val="21"/>
                <w:szCs w:val="21"/>
                <w:u w:val="none"/>
                <w:lang w:val="en-US" w:eastAsia="zh-CN" w:bidi="ar-SA"/>
              </w:rPr>
            </w:pPr>
            <w:r>
              <w:rPr>
                <w:rFonts w:hint="eastAsia" w:ascii="宋体" w:hAnsi="宋体" w:eastAsia="宋体" w:cs="宋体"/>
                <w:b w:val="0"/>
                <w:bCs w:val="0"/>
                <w:i w:val="0"/>
                <w:iCs w:val="0"/>
                <w:color w:val="000000"/>
                <w:kern w:val="0"/>
                <w:sz w:val="21"/>
                <w:szCs w:val="21"/>
                <w:u w:val="none"/>
                <w:lang w:val="en-US" w:eastAsia="zh-CN" w:bidi="ar"/>
              </w:rPr>
              <w:t>500</w:t>
            </w:r>
          </w:p>
        </w:tc>
      </w:tr>
      <w:tr w14:paraId="5123C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9089" w:type="dxa"/>
            <w:gridSpan w:val="5"/>
            <w:vAlign w:val="center"/>
          </w:tcPr>
          <w:p w14:paraId="54ED8706">
            <w:pPr>
              <w:keepNext w:val="0"/>
              <w:keepLines w:val="0"/>
              <w:pageBreakBefore w:val="0"/>
              <w:widowControl/>
              <w:suppressLineNumbers w:val="0"/>
              <w:kinsoku/>
              <w:overflowPunct/>
              <w:topLinePunct w:val="0"/>
              <w:autoSpaceDE/>
              <w:autoSpaceDN/>
              <w:bidi w:val="0"/>
              <w:adjustRightInd/>
              <w:snapToGrid/>
              <w:spacing w:line="360" w:lineRule="auto"/>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color w:val="auto"/>
                <w:kern w:val="0"/>
                <w:sz w:val="21"/>
                <w:szCs w:val="21"/>
                <w:vertAlign w:val="baseline"/>
                <w:lang w:val="en-US" w:eastAsia="zh-CN"/>
              </w:rPr>
              <w:t>备注：</w:t>
            </w:r>
            <w:r>
              <w:rPr>
                <w:rFonts w:hint="eastAsia" w:ascii="宋体" w:hAnsi="宋体" w:eastAsia="宋体" w:cs="宋体"/>
                <w:color w:val="auto"/>
                <w:kern w:val="0"/>
                <w:sz w:val="21"/>
                <w:szCs w:val="21"/>
                <w:lang w:val="en-US" w:eastAsia="zh-CN" w:bidi="ar"/>
              </w:rPr>
              <w:t>报价为包干总价，为报价人完成采购项目全部义务的总价格，包括但不限于购买标的的费用、运输费、仓储费、保险费、装卸费、配套资料费、安装调试费用、验收时的试剂耗材、强制性第三方监督检验机构的验收检验费、培训费用、税费以及售后服务费用等全部费用。所报价格不得高于预算金额或最高限价。</w:t>
            </w:r>
          </w:p>
        </w:tc>
      </w:tr>
    </w:tbl>
    <w:p w14:paraId="18C575B8">
      <w:pPr>
        <w:keepNext w:val="0"/>
        <w:keepLines w:val="0"/>
        <w:pageBreakBefore w:val="0"/>
        <w:numPr>
          <w:ilvl w:val="0"/>
          <w:numId w:val="0"/>
        </w:numPr>
        <w:kinsoku/>
        <w:overflowPunct/>
        <w:topLinePunct w:val="0"/>
        <w:autoSpaceDE/>
        <w:autoSpaceDN/>
        <w:bidi w:val="0"/>
        <w:adjustRightInd/>
        <w:snapToGrid/>
        <w:spacing w:line="360" w:lineRule="auto"/>
        <w:rPr>
          <w:rFonts w:hint="eastAsia" w:ascii="宋体" w:hAnsi="宋体" w:eastAsia="宋体" w:cs="宋体"/>
          <w:b/>
          <w:bCs/>
          <w:kern w:val="2"/>
          <w:sz w:val="21"/>
          <w:szCs w:val="21"/>
          <w:lang w:val="en-US" w:eastAsia="zh-CN" w:bidi="ar-SA"/>
        </w:rPr>
      </w:pPr>
    </w:p>
    <w:p w14:paraId="75002FD0">
      <w:pPr>
        <w:keepNext w:val="0"/>
        <w:keepLines w:val="0"/>
        <w:pageBreakBefore w:val="0"/>
        <w:widowControl/>
        <w:kinsoku/>
        <w:wordWrap w:val="0"/>
        <w:overflowPunct/>
        <w:topLinePunct w:val="0"/>
        <w:autoSpaceDE/>
        <w:autoSpaceDN/>
        <w:bidi w:val="0"/>
        <w:adjustRightInd/>
        <w:snapToGrid/>
        <w:spacing w:line="360" w:lineRule="auto"/>
        <w:jc w:val="left"/>
        <w:rPr>
          <w:rFonts w:hint="eastAsia" w:ascii="宋体" w:hAnsi="宋体" w:eastAsia="宋体" w:cs="宋体"/>
          <w:b/>
          <w:bCs/>
          <w:color w:val="000000"/>
          <w:kern w:val="0"/>
          <w:sz w:val="21"/>
          <w:szCs w:val="21"/>
          <w:lang w:val="en-US" w:eastAsia="zh-CN"/>
        </w:rPr>
      </w:pPr>
      <w:r>
        <w:rPr>
          <w:rFonts w:hint="eastAsia" w:ascii="宋体" w:hAnsi="宋体" w:eastAsia="宋体" w:cs="宋体"/>
          <w:b/>
          <w:bCs/>
          <w:color w:val="000000"/>
          <w:kern w:val="0"/>
          <w:sz w:val="21"/>
          <w:szCs w:val="21"/>
          <w:lang w:val="en-US" w:eastAsia="zh-CN"/>
        </w:rPr>
        <w:t>二、资质要求</w:t>
      </w:r>
    </w:p>
    <w:p w14:paraId="1B550C5F">
      <w:pPr>
        <w:keepNext w:val="0"/>
        <w:keepLines w:val="0"/>
        <w:pageBreakBefore w:val="0"/>
        <w:numPr>
          <w:ilvl w:val="0"/>
          <w:numId w:val="0"/>
        </w:numPr>
        <w:kinsoku/>
        <w:overflowPunct/>
        <w:topLinePunct w:val="0"/>
        <w:autoSpaceDE/>
        <w:autoSpaceDN/>
        <w:bidi w:val="0"/>
        <w:adjustRightInd/>
        <w:snapToGrid/>
        <w:spacing w:line="360" w:lineRule="auto"/>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1.营业执照。</w:t>
      </w:r>
    </w:p>
    <w:p w14:paraId="6AE48549">
      <w:pPr>
        <w:keepNext w:val="0"/>
        <w:keepLines w:val="0"/>
        <w:pageBreakBefore w:val="0"/>
        <w:numPr>
          <w:ilvl w:val="0"/>
          <w:numId w:val="0"/>
        </w:numPr>
        <w:kinsoku/>
        <w:overflowPunct/>
        <w:topLinePunct w:val="0"/>
        <w:autoSpaceDE/>
        <w:autoSpaceDN/>
        <w:bidi w:val="0"/>
        <w:adjustRightInd/>
        <w:snapToGrid/>
        <w:spacing w:line="360" w:lineRule="auto"/>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2.法人代表证书及法定代表人授权书。</w:t>
      </w:r>
    </w:p>
    <w:p w14:paraId="2197D6E1">
      <w:pPr>
        <w:keepNext w:val="0"/>
        <w:keepLines w:val="0"/>
        <w:pageBreakBefore w:val="0"/>
        <w:numPr>
          <w:ilvl w:val="0"/>
          <w:numId w:val="0"/>
        </w:numPr>
        <w:kinsoku/>
        <w:overflowPunct/>
        <w:topLinePunct w:val="0"/>
        <w:autoSpaceDE/>
        <w:autoSpaceDN/>
        <w:bidi w:val="0"/>
        <w:adjustRightInd/>
        <w:snapToGrid/>
        <w:spacing w:line="360" w:lineRule="auto"/>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3.产品销售渠道证明：厂家（生产商）直接销售，出具厂家声明（格式自拟）；厂家（生产商）长期授权销售，提供生产商出具的授权函（授权书中连续有效期不少于一年）。</w:t>
      </w:r>
    </w:p>
    <w:p w14:paraId="63005092">
      <w:pPr>
        <w:keepNext w:val="0"/>
        <w:keepLines w:val="0"/>
        <w:pageBreakBefore w:val="0"/>
        <w:numPr>
          <w:ilvl w:val="0"/>
          <w:numId w:val="0"/>
        </w:numPr>
        <w:kinsoku/>
        <w:overflowPunct/>
        <w:topLinePunct w:val="0"/>
        <w:autoSpaceDE/>
        <w:autoSpaceDN/>
        <w:bidi w:val="0"/>
        <w:adjustRightInd/>
        <w:snapToGrid/>
        <w:spacing w:line="360" w:lineRule="auto"/>
        <w:rPr>
          <w:rFonts w:hint="eastAsia" w:ascii="宋体" w:hAnsi="宋体" w:eastAsia="宋体" w:cs="宋体"/>
          <w:b/>
          <w:bCs/>
          <w:kern w:val="2"/>
          <w:sz w:val="21"/>
          <w:szCs w:val="21"/>
          <w:lang w:val="en-US" w:eastAsia="zh-CN" w:bidi="ar-SA"/>
        </w:rPr>
      </w:pPr>
    </w:p>
    <w:p w14:paraId="5CD301DA">
      <w:pPr>
        <w:keepNext w:val="0"/>
        <w:keepLines w:val="0"/>
        <w:pageBreakBefore w:val="0"/>
        <w:widowControl/>
        <w:kinsoku/>
        <w:wordWrap w:val="0"/>
        <w:overflowPunct/>
        <w:topLinePunct w:val="0"/>
        <w:autoSpaceDE/>
        <w:autoSpaceDN/>
        <w:bidi w:val="0"/>
        <w:adjustRightInd/>
        <w:snapToGrid/>
        <w:spacing w:line="360" w:lineRule="auto"/>
        <w:jc w:val="left"/>
        <w:rPr>
          <w:rFonts w:hint="eastAsia" w:ascii="宋体" w:hAnsi="宋体" w:eastAsia="宋体" w:cs="宋体"/>
          <w:b/>
          <w:bCs/>
          <w:color w:val="000000"/>
          <w:kern w:val="0"/>
          <w:sz w:val="21"/>
          <w:szCs w:val="21"/>
          <w:lang w:val="en-US" w:eastAsia="zh-CN"/>
        </w:rPr>
      </w:pPr>
      <w:r>
        <w:rPr>
          <w:rFonts w:hint="eastAsia" w:ascii="宋体" w:hAnsi="宋体" w:eastAsia="宋体" w:cs="宋体"/>
          <w:b/>
          <w:bCs/>
          <w:color w:val="000000"/>
          <w:kern w:val="0"/>
          <w:sz w:val="21"/>
          <w:szCs w:val="21"/>
          <w:lang w:val="en-US" w:eastAsia="zh-CN"/>
        </w:rPr>
        <w:t>三、技术参数</w:t>
      </w:r>
    </w:p>
    <w:p w14:paraId="797C67E6">
      <w:pPr>
        <w:keepNext w:val="0"/>
        <w:keepLines w:val="0"/>
        <w:pageBreakBefore w:val="0"/>
        <w:widowControl/>
        <w:kinsoku/>
        <w:wordWrap w:val="0"/>
        <w:overflowPunct/>
        <w:topLinePunct w:val="0"/>
        <w:autoSpaceDE/>
        <w:autoSpaceDN/>
        <w:bidi w:val="0"/>
        <w:adjustRightInd/>
        <w:snapToGrid/>
        <w:spacing w:line="360" w:lineRule="auto"/>
        <w:jc w:val="left"/>
        <w:rPr>
          <w:rFonts w:hint="eastAsia" w:ascii="宋体" w:hAnsi="宋体" w:eastAsia="宋体" w:cs="宋体"/>
          <w:b/>
          <w:bCs/>
          <w:color w:val="000000"/>
          <w:kern w:val="0"/>
          <w:sz w:val="21"/>
          <w:szCs w:val="21"/>
          <w:lang w:val="en-US" w:eastAsia="zh-CN"/>
        </w:rPr>
      </w:pPr>
      <w:r>
        <w:rPr>
          <w:rFonts w:hint="eastAsia" w:ascii="宋体" w:hAnsi="宋体" w:eastAsia="宋体" w:cs="宋体"/>
          <w:b/>
          <w:bCs/>
          <w:color w:val="000000"/>
          <w:kern w:val="0"/>
          <w:sz w:val="21"/>
          <w:szCs w:val="21"/>
          <w:lang w:val="en-US" w:eastAsia="zh-CN"/>
        </w:rPr>
        <w:t>1.实验动物玉米芯垫料</w:t>
      </w:r>
    </w:p>
    <w:p w14:paraId="7225927E">
      <w:pPr>
        <w:keepNext w:val="0"/>
        <w:keepLines w:val="0"/>
        <w:pageBreakBefore w:val="0"/>
        <w:numPr>
          <w:ilvl w:val="0"/>
          <w:numId w:val="0"/>
        </w:numPr>
        <w:kinsoku/>
        <w:overflowPunct/>
        <w:topLinePunct w:val="0"/>
        <w:autoSpaceDE/>
        <w:autoSpaceDN/>
        <w:bidi w:val="0"/>
        <w:adjustRightInd/>
        <w:snapToGrid/>
        <w:spacing w:line="360" w:lineRule="auto"/>
        <w:textAlignment w:val="auto"/>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（1）原料：100%玉米芯，体积大、密度小、吸水性能好，48小时吸水量应不小于100%。水分含量：小于11%。</w:t>
      </w:r>
      <w:r>
        <w:rPr>
          <w:rFonts w:hint="eastAsia" w:ascii="宋体" w:hAnsi="宋体" w:eastAsia="宋体" w:cs="宋体"/>
          <w:b/>
          <w:bCs/>
          <w:color w:val="000000"/>
          <w:kern w:val="0"/>
          <w:sz w:val="21"/>
          <w:szCs w:val="21"/>
          <w:lang w:val="en-US" w:eastAsia="zh-CN"/>
        </w:rPr>
        <w:t>提供2024年至今具有检测资质的</w:t>
      </w:r>
      <w:r>
        <w:rPr>
          <w:rFonts w:hint="eastAsia" w:ascii="宋体" w:hAnsi="宋体" w:eastAsia="宋体" w:cs="宋体"/>
          <w:b/>
          <w:bCs/>
          <w:color w:val="000000"/>
          <w:kern w:val="0"/>
          <w:sz w:val="21"/>
          <w:szCs w:val="21"/>
          <w:lang w:eastAsia="zh-CN"/>
        </w:rPr>
        <w:t>第三方</w:t>
      </w:r>
      <w:r>
        <w:rPr>
          <w:rFonts w:hint="eastAsia" w:ascii="宋体" w:hAnsi="宋体" w:eastAsia="宋体" w:cs="宋体"/>
          <w:b/>
          <w:bCs/>
          <w:color w:val="000000"/>
          <w:kern w:val="0"/>
          <w:sz w:val="21"/>
          <w:szCs w:val="21"/>
          <w:lang w:val="en-US" w:eastAsia="zh-CN"/>
        </w:rPr>
        <w:t>检测机构出具的关于吸水性能的检测</w:t>
      </w:r>
      <w:r>
        <w:rPr>
          <w:rFonts w:hint="eastAsia" w:ascii="宋体" w:hAnsi="宋体" w:eastAsia="宋体" w:cs="宋体"/>
          <w:b/>
          <w:bCs/>
          <w:color w:val="000000"/>
          <w:kern w:val="0"/>
          <w:sz w:val="21"/>
          <w:szCs w:val="21"/>
          <w:lang w:eastAsia="zh-CN"/>
        </w:rPr>
        <w:t>报告。</w:t>
      </w:r>
    </w:p>
    <w:p w14:paraId="290AA6C7">
      <w:pPr>
        <w:keepNext w:val="0"/>
        <w:keepLines w:val="0"/>
        <w:pageBreakBefore w:val="0"/>
        <w:numPr>
          <w:ilvl w:val="0"/>
          <w:numId w:val="0"/>
        </w:numPr>
        <w:kinsoku/>
        <w:overflowPunct/>
        <w:topLinePunct w:val="0"/>
        <w:autoSpaceDE/>
        <w:autoSpaceDN/>
        <w:bidi w:val="0"/>
        <w:adjustRightInd/>
        <w:snapToGrid/>
        <w:spacing w:line="360" w:lineRule="auto"/>
        <w:textAlignment w:val="auto"/>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（2）规格： 1.7mm-2mm（8-10目）。</w:t>
      </w:r>
    </w:p>
    <w:p w14:paraId="3B1527CF">
      <w:pPr>
        <w:keepNext w:val="0"/>
        <w:keepLines w:val="0"/>
        <w:pageBreakBefore w:val="0"/>
        <w:numPr>
          <w:ilvl w:val="0"/>
          <w:numId w:val="0"/>
        </w:numPr>
        <w:kinsoku/>
        <w:overflowPunct/>
        <w:topLinePunct w:val="0"/>
        <w:autoSpaceDE/>
        <w:autoSpaceDN/>
        <w:bidi w:val="0"/>
        <w:adjustRightInd/>
        <w:snapToGrid/>
        <w:spacing w:line="360" w:lineRule="auto"/>
        <w:textAlignment w:val="auto"/>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（3）杂质和粉尘：≤1g/kg；可高温高压灭菌。</w:t>
      </w:r>
      <w:r>
        <w:rPr>
          <w:rFonts w:hint="eastAsia" w:ascii="宋体" w:hAnsi="宋体" w:eastAsia="宋体" w:cs="宋体"/>
          <w:b/>
          <w:bCs/>
          <w:color w:val="000000"/>
          <w:kern w:val="0"/>
          <w:sz w:val="21"/>
          <w:szCs w:val="21"/>
          <w:lang w:val="en-US" w:eastAsia="zh-CN"/>
        </w:rPr>
        <w:t>提供2024年至今具有检测资质的</w:t>
      </w:r>
      <w:r>
        <w:rPr>
          <w:rFonts w:hint="eastAsia" w:ascii="宋体" w:hAnsi="宋体" w:eastAsia="宋体" w:cs="宋体"/>
          <w:b/>
          <w:bCs/>
          <w:color w:val="000000"/>
          <w:kern w:val="0"/>
          <w:sz w:val="21"/>
          <w:szCs w:val="21"/>
          <w:lang w:eastAsia="zh-CN"/>
        </w:rPr>
        <w:t>第三方</w:t>
      </w:r>
      <w:r>
        <w:rPr>
          <w:rFonts w:hint="eastAsia" w:ascii="宋体" w:hAnsi="宋体" w:eastAsia="宋体" w:cs="宋体"/>
          <w:b/>
          <w:bCs/>
          <w:color w:val="000000"/>
          <w:kern w:val="0"/>
          <w:sz w:val="21"/>
          <w:szCs w:val="21"/>
          <w:lang w:val="en-US" w:eastAsia="zh-CN"/>
        </w:rPr>
        <w:t>检测机构出具的关于含尘量的检测</w:t>
      </w:r>
      <w:r>
        <w:rPr>
          <w:rFonts w:hint="eastAsia" w:ascii="宋体" w:hAnsi="宋体" w:eastAsia="宋体" w:cs="宋体"/>
          <w:b/>
          <w:bCs/>
          <w:color w:val="000000"/>
          <w:kern w:val="0"/>
          <w:sz w:val="21"/>
          <w:szCs w:val="21"/>
          <w:lang w:eastAsia="zh-CN"/>
        </w:rPr>
        <w:t>报告。</w:t>
      </w:r>
    </w:p>
    <w:p w14:paraId="14EAC40E">
      <w:pPr>
        <w:keepNext w:val="0"/>
        <w:keepLines w:val="0"/>
        <w:pageBreakBefore w:val="0"/>
        <w:numPr>
          <w:ilvl w:val="0"/>
          <w:numId w:val="0"/>
        </w:numPr>
        <w:kinsoku/>
        <w:overflowPunct/>
        <w:topLinePunct w:val="0"/>
        <w:autoSpaceDE/>
        <w:autoSpaceDN/>
        <w:bidi w:val="0"/>
        <w:adjustRightInd/>
        <w:snapToGrid/>
        <w:spacing w:line="360" w:lineRule="auto"/>
        <w:textAlignment w:val="auto"/>
        <w:rPr>
          <w:rFonts w:hint="eastAsia" w:ascii="宋体" w:hAnsi="宋体" w:eastAsia="宋体" w:cs="宋体"/>
          <w:b w:val="0"/>
          <w:bCs/>
          <w:color w:val="000000"/>
          <w:sz w:val="21"/>
          <w:szCs w:val="21"/>
        </w:rPr>
      </w:pPr>
      <w:r>
        <w:rPr>
          <w:rFonts w:hint="eastAsia" w:ascii="宋体" w:hAnsi="宋体" w:eastAsia="宋体" w:cs="宋体"/>
          <w:b w:val="0"/>
          <w:bCs w:val="0"/>
          <w:color w:val="000000"/>
          <w:kern w:val="0"/>
          <w:sz w:val="21"/>
          <w:szCs w:val="21"/>
          <w:lang w:val="en-US" w:eastAsia="zh-CN"/>
        </w:rPr>
        <w:t>（4）化学污染物指标、微生物指标需满足国家标准GB 14924.2-2001（详见下表），</w:t>
      </w:r>
      <w:r>
        <w:rPr>
          <w:rFonts w:hint="eastAsia" w:ascii="宋体" w:hAnsi="宋体" w:eastAsia="宋体" w:cs="宋体"/>
          <w:b/>
          <w:bCs/>
          <w:color w:val="000000"/>
          <w:kern w:val="0"/>
          <w:sz w:val="21"/>
          <w:szCs w:val="21"/>
          <w:lang w:val="en-US" w:eastAsia="zh-CN"/>
        </w:rPr>
        <w:t>提供2024年至今具有检测资质的</w:t>
      </w:r>
      <w:r>
        <w:rPr>
          <w:rFonts w:hint="eastAsia" w:ascii="宋体" w:hAnsi="宋体" w:eastAsia="宋体" w:cs="宋体"/>
          <w:b/>
          <w:bCs/>
          <w:color w:val="000000"/>
          <w:kern w:val="0"/>
          <w:sz w:val="21"/>
          <w:szCs w:val="21"/>
          <w:lang w:eastAsia="zh-CN"/>
        </w:rPr>
        <w:t>第三方</w:t>
      </w:r>
      <w:r>
        <w:rPr>
          <w:rFonts w:hint="eastAsia" w:ascii="宋体" w:hAnsi="宋体" w:eastAsia="宋体" w:cs="宋体"/>
          <w:b/>
          <w:bCs/>
          <w:color w:val="000000"/>
          <w:kern w:val="0"/>
          <w:sz w:val="21"/>
          <w:szCs w:val="21"/>
          <w:lang w:val="en-US" w:eastAsia="zh-CN"/>
        </w:rPr>
        <w:t>检测机构出具的检测</w:t>
      </w:r>
      <w:r>
        <w:rPr>
          <w:rFonts w:hint="eastAsia" w:ascii="宋体" w:hAnsi="宋体" w:eastAsia="宋体" w:cs="宋体"/>
          <w:b/>
          <w:bCs/>
          <w:color w:val="000000"/>
          <w:kern w:val="0"/>
          <w:sz w:val="21"/>
          <w:szCs w:val="21"/>
          <w:lang w:eastAsia="zh-CN"/>
        </w:rPr>
        <w:t>报告</w:t>
      </w:r>
      <w:r>
        <w:rPr>
          <w:rFonts w:hint="eastAsia" w:ascii="宋体" w:hAnsi="宋体" w:eastAsia="宋体" w:cs="宋体"/>
          <w:color w:val="000000"/>
          <w:kern w:val="0"/>
          <w:sz w:val="21"/>
          <w:szCs w:val="21"/>
          <w:lang w:eastAsia="zh-CN"/>
        </w:rPr>
        <w:t>（含下面检验项目内容）。</w:t>
      </w:r>
    </w:p>
    <w:p w14:paraId="13883DB1">
      <w:pPr>
        <w:keepNext w:val="0"/>
        <w:keepLines w:val="0"/>
        <w:pageBreakBefore w:val="0"/>
        <w:kinsoku/>
        <w:overflowPunct/>
        <w:topLinePunct w:val="0"/>
        <w:autoSpaceDE/>
        <w:autoSpaceDN/>
        <w:bidi w:val="0"/>
        <w:adjustRightInd/>
        <w:snapToGrid/>
        <w:spacing w:line="360" w:lineRule="auto"/>
        <w:jc w:val="center"/>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表1 化学污染物指标（GB 14924.2-2001）</w:t>
      </w:r>
    </w:p>
    <w:tbl>
      <w:tblPr>
        <w:tblStyle w:val="4"/>
        <w:tblW w:w="0" w:type="auto"/>
        <w:jc w:val="center"/>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autofit"/>
        <w:tblCellMar>
          <w:top w:w="0" w:type="dxa"/>
          <w:left w:w="0" w:type="dxa"/>
          <w:bottom w:w="0" w:type="dxa"/>
          <w:right w:w="0" w:type="dxa"/>
        </w:tblCellMar>
      </w:tblPr>
      <w:tblGrid>
        <w:gridCol w:w="2781"/>
        <w:gridCol w:w="2509"/>
      </w:tblGrid>
      <w:tr w14:paraId="4713E2B1">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jc w:val="center"/>
        </w:trPr>
        <w:tc>
          <w:tcPr>
            <w:tcW w:w="2781" w:type="dxa"/>
            <w:tcBorders>
              <w:top w:val="outset" w:color="000000" w:sz="6" w:space="0"/>
              <w:left w:val="outset" w:color="000000" w:sz="6" w:space="0"/>
              <w:bottom w:val="outset" w:color="000000" w:sz="6" w:space="0"/>
              <w:right w:val="outset" w:color="000000" w:sz="6" w:space="0"/>
            </w:tcBorders>
            <w:vAlign w:val="center"/>
          </w:tcPr>
          <w:p w14:paraId="09C71FD5">
            <w:pPr>
              <w:keepNext w:val="0"/>
              <w:keepLines w:val="0"/>
              <w:pageBreakBefore w:val="0"/>
              <w:kinsoku/>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项目</w:t>
            </w:r>
          </w:p>
        </w:tc>
        <w:tc>
          <w:tcPr>
            <w:tcW w:w="2509" w:type="dxa"/>
            <w:tcBorders>
              <w:top w:val="outset" w:color="000000" w:sz="6" w:space="0"/>
              <w:left w:val="outset" w:color="000000" w:sz="6" w:space="0"/>
              <w:bottom w:val="outset" w:color="000000" w:sz="6" w:space="0"/>
              <w:right w:val="outset" w:color="000000" w:sz="6" w:space="0"/>
            </w:tcBorders>
            <w:vAlign w:val="center"/>
          </w:tcPr>
          <w:p w14:paraId="32846EDE">
            <w:pPr>
              <w:keepNext w:val="0"/>
              <w:keepLines w:val="0"/>
              <w:pageBreakBefore w:val="0"/>
              <w:kinsoku/>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指标</w:t>
            </w:r>
          </w:p>
        </w:tc>
      </w:tr>
      <w:tr w14:paraId="01321EA1">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781" w:type="dxa"/>
            <w:tcBorders>
              <w:top w:val="outset" w:color="000000" w:sz="6" w:space="0"/>
              <w:left w:val="outset" w:color="000000" w:sz="6" w:space="0"/>
              <w:bottom w:val="outset" w:color="000000" w:sz="6" w:space="0"/>
              <w:right w:val="outset" w:color="000000" w:sz="6" w:space="0"/>
            </w:tcBorders>
            <w:vAlign w:val="center"/>
          </w:tcPr>
          <w:p w14:paraId="3B386FED">
            <w:pPr>
              <w:keepNext w:val="0"/>
              <w:keepLines w:val="0"/>
              <w:pageBreakBefore w:val="0"/>
              <w:kinsoku/>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砷，mg/kg ≤</w:t>
            </w:r>
          </w:p>
        </w:tc>
        <w:tc>
          <w:tcPr>
            <w:tcW w:w="2509" w:type="dxa"/>
            <w:tcBorders>
              <w:top w:val="outset" w:color="000000" w:sz="6" w:space="0"/>
              <w:left w:val="outset" w:color="000000" w:sz="6" w:space="0"/>
              <w:bottom w:val="outset" w:color="000000" w:sz="6" w:space="0"/>
              <w:right w:val="outset" w:color="000000" w:sz="6" w:space="0"/>
            </w:tcBorders>
            <w:vAlign w:val="center"/>
          </w:tcPr>
          <w:p w14:paraId="63E297D1">
            <w:pPr>
              <w:keepNext w:val="0"/>
              <w:keepLines w:val="0"/>
              <w:pageBreakBefore w:val="0"/>
              <w:kinsoku/>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0.7</w:t>
            </w:r>
          </w:p>
        </w:tc>
      </w:tr>
      <w:tr w14:paraId="26F56D87">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PrEx>
        <w:trPr>
          <w:jc w:val="center"/>
        </w:trPr>
        <w:tc>
          <w:tcPr>
            <w:tcW w:w="2781" w:type="dxa"/>
            <w:tcBorders>
              <w:top w:val="outset" w:color="000000" w:sz="6" w:space="0"/>
              <w:left w:val="outset" w:color="000000" w:sz="6" w:space="0"/>
              <w:bottom w:val="outset" w:color="000000" w:sz="6" w:space="0"/>
              <w:right w:val="outset" w:color="000000" w:sz="6" w:space="0"/>
            </w:tcBorders>
            <w:vAlign w:val="center"/>
          </w:tcPr>
          <w:p w14:paraId="7D7A7670">
            <w:pPr>
              <w:keepNext w:val="0"/>
              <w:keepLines w:val="0"/>
              <w:pageBreakBefore w:val="0"/>
              <w:kinsoku/>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铅，mg/kg ≤</w:t>
            </w:r>
          </w:p>
        </w:tc>
        <w:tc>
          <w:tcPr>
            <w:tcW w:w="2509" w:type="dxa"/>
            <w:tcBorders>
              <w:top w:val="outset" w:color="000000" w:sz="6" w:space="0"/>
              <w:left w:val="outset" w:color="000000" w:sz="6" w:space="0"/>
              <w:bottom w:val="outset" w:color="000000" w:sz="6" w:space="0"/>
              <w:right w:val="outset" w:color="000000" w:sz="6" w:space="0"/>
            </w:tcBorders>
            <w:vAlign w:val="center"/>
          </w:tcPr>
          <w:p w14:paraId="1F08EC4D">
            <w:pPr>
              <w:keepNext w:val="0"/>
              <w:keepLines w:val="0"/>
              <w:pageBreakBefore w:val="0"/>
              <w:kinsoku/>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1.0</w:t>
            </w:r>
          </w:p>
        </w:tc>
      </w:tr>
      <w:tr w14:paraId="5C6237E3">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jc w:val="center"/>
        </w:trPr>
        <w:tc>
          <w:tcPr>
            <w:tcW w:w="2781" w:type="dxa"/>
            <w:tcBorders>
              <w:top w:val="outset" w:color="000000" w:sz="6" w:space="0"/>
              <w:left w:val="outset" w:color="000000" w:sz="6" w:space="0"/>
              <w:bottom w:val="outset" w:color="000000" w:sz="6" w:space="0"/>
              <w:right w:val="outset" w:color="000000" w:sz="6" w:space="0"/>
            </w:tcBorders>
            <w:vAlign w:val="center"/>
          </w:tcPr>
          <w:p w14:paraId="2B9A25F8">
            <w:pPr>
              <w:keepNext w:val="0"/>
              <w:keepLines w:val="0"/>
              <w:pageBreakBefore w:val="0"/>
              <w:kinsoku/>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镉，mg/kg ≤</w:t>
            </w:r>
          </w:p>
        </w:tc>
        <w:tc>
          <w:tcPr>
            <w:tcW w:w="2509" w:type="dxa"/>
            <w:tcBorders>
              <w:top w:val="outset" w:color="000000" w:sz="6" w:space="0"/>
              <w:left w:val="outset" w:color="000000" w:sz="6" w:space="0"/>
              <w:bottom w:val="outset" w:color="000000" w:sz="6" w:space="0"/>
              <w:right w:val="outset" w:color="000000" w:sz="6" w:space="0"/>
            </w:tcBorders>
            <w:vAlign w:val="center"/>
          </w:tcPr>
          <w:p w14:paraId="391063CF">
            <w:pPr>
              <w:keepNext w:val="0"/>
              <w:keepLines w:val="0"/>
              <w:pageBreakBefore w:val="0"/>
              <w:kinsoku/>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0.2</w:t>
            </w:r>
          </w:p>
        </w:tc>
      </w:tr>
      <w:tr w14:paraId="24955A60">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jc w:val="center"/>
        </w:trPr>
        <w:tc>
          <w:tcPr>
            <w:tcW w:w="2781" w:type="dxa"/>
            <w:tcBorders>
              <w:top w:val="outset" w:color="000000" w:sz="6" w:space="0"/>
              <w:left w:val="outset" w:color="000000" w:sz="6" w:space="0"/>
              <w:bottom w:val="outset" w:color="000000" w:sz="6" w:space="0"/>
              <w:right w:val="outset" w:color="000000" w:sz="6" w:space="0"/>
            </w:tcBorders>
            <w:vAlign w:val="center"/>
          </w:tcPr>
          <w:p w14:paraId="3AE71AD3">
            <w:pPr>
              <w:keepNext w:val="0"/>
              <w:keepLines w:val="0"/>
              <w:pageBreakBefore w:val="0"/>
              <w:kinsoku/>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汞，mg/kg ≤</w:t>
            </w:r>
          </w:p>
        </w:tc>
        <w:tc>
          <w:tcPr>
            <w:tcW w:w="2509" w:type="dxa"/>
            <w:tcBorders>
              <w:top w:val="outset" w:color="000000" w:sz="6" w:space="0"/>
              <w:left w:val="outset" w:color="000000" w:sz="6" w:space="0"/>
              <w:bottom w:val="outset" w:color="000000" w:sz="6" w:space="0"/>
              <w:right w:val="outset" w:color="000000" w:sz="6" w:space="0"/>
            </w:tcBorders>
            <w:vAlign w:val="center"/>
          </w:tcPr>
          <w:p w14:paraId="04D2C2BC">
            <w:pPr>
              <w:keepNext w:val="0"/>
              <w:keepLines w:val="0"/>
              <w:pageBreakBefore w:val="0"/>
              <w:kinsoku/>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0.02</w:t>
            </w:r>
          </w:p>
        </w:tc>
      </w:tr>
      <w:tr w14:paraId="34BA4271">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jc w:val="center"/>
        </w:trPr>
        <w:tc>
          <w:tcPr>
            <w:tcW w:w="2781" w:type="dxa"/>
            <w:tcBorders>
              <w:top w:val="outset" w:color="000000" w:sz="6" w:space="0"/>
              <w:left w:val="outset" w:color="000000" w:sz="6" w:space="0"/>
              <w:bottom w:val="outset" w:color="000000" w:sz="6" w:space="0"/>
              <w:right w:val="outset" w:color="000000" w:sz="6" w:space="0"/>
            </w:tcBorders>
            <w:vAlign w:val="center"/>
          </w:tcPr>
          <w:p w14:paraId="58D67CFB">
            <w:pPr>
              <w:keepNext w:val="0"/>
              <w:keepLines w:val="0"/>
              <w:pageBreakBefore w:val="0"/>
              <w:kinsoku/>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六六六，mg/kg ≤</w:t>
            </w:r>
          </w:p>
        </w:tc>
        <w:tc>
          <w:tcPr>
            <w:tcW w:w="2509" w:type="dxa"/>
            <w:tcBorders>
              <w:top w:val="outset" w:color="000000" w:sz="6" w:space="0"/>
              <w:left w:val="outset" w:color="000000" w:sz="6" w:space="0"/>
              <w:bottom w:val="outset" w:color="000000" w:sz="6" w:space="0"/>
              <w:right w:val="outset" w:color="000000" w:sz="6" w:space="0"/>
            </w:tcBorders>
            <w:vAlign w:val="center"/>
          </w:tcPr>
          <w:p w14:paraId="7797B411">
            <w:pPr>
              <w:keepNext w:val="0"/>
              <w:keepLines w:val="0"/>
              <w:pageBreakBefore w:val="0"/>
              <w:kinsoku/>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0.3</w:t>
            </w:r>
          </w:p>
        </w:tc>
      </w:tr>
      <w:tr w14:paraId="0E3ADBE2">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jc w:val="center"/>
        </w:trPr>
        <w:tc>
          <w:tcPr>
            <w:tcW w:w="2781" w:type="dxa"/>
            <w:tcBorders>
              <w:top w:val="outset" w:color="000000" w:sz="6" w:space="0"/>
              <w:left w:val="outset" w:color="000000" w:sz="6" w:space="0"/>
              <w:bottom w:val="outset" w:color="000000" w:sz="6" w:space="0"/>
              <w:right w:val="outset" w:color="000000" w:sz="6" w:space="0"/>
            </w:tcBorders>
            <w:vAlign w:val="center"/>
          </w:tcPr>
          <w:p w14:paraId="4AA666C1">
            <w:pPr>
              <w:keepNext w:val="0"/>
              <w:keepLines w:val="0"/>
              <w:pageBreakBefore w:val="0"/>
              <w:kinsoku/>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滴滴涕，mg/kg ≤</w:t>
            </w:r>
          </w:p>
        </w:tc>
        <w:tc>
          <w:tcPr>
            <w:tcW w:w="2509" w:type="dxa"/>
            <w:tcBorders>
              <w:top w:val="outset" w:color="000000" w:sz="6" w:space="0"/>
              <w:left w:val="outset" w:color="000000" w:sz="6" w:space="0"/>
              <w:bottom w:val="outset" w:color="000000" w:sz="6" w:space="0"/>
              <w:right w:val="outset" w:color="000000" w:sz="6" w:space="0"/>
            </w:tcBorders>
            <w:vAlign w:val="center"/>
          </w:tcPr>
          <w:p w14:paraId="7B41CFA5">
            <w:pPr>
              <w:keepNext w:val="0"/>
              <w:keepLines w:val="0"/>
              <w:pageBreakBefore w:val="0"/>
              <w:kinsoku/>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0.2</w:t>
            </w:r>
          </w:p>
        </w:tc>
      </w:tr>
      <w:tr w14:paraId="68D7904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jc w:val="center"/>
        </w:trPr>
        <w:tc>
          <w:tcPr>
            <w:tcW w:w="2781" w:type="dxa"/>
            <w:tcBorders>
              <w:top w:val="outset" w:color="000000" w:sz="6" w:space="0"/>
              <w:left w:val="outset" w:color="000000" w:sz="6" w:space="0"/>
              <w:bottom w:val="outset" w:color="000000" w:sz="6" w:space="0"/>
              <w:right w:val="outset" w:color="000000" w:sz="6" w:space="0"/>
            </w:tcBorders>
            <w:vAlign w:val="center"/>
          </w:tcPr>
          <w:p w14:paraId="2C2AF27F">
            <w:pPr>
              <w:keepNext w:val="0"/>
              <w:keepLines w:val="0"/>
              <w:pageBreakBefore w:val="0"/>
              <w:kinsoku/>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黄曲霉毒素B</w:t>
            </w:r>
            <w:r>
              <w:rPr>
                <w:rFonts w:hint="eastAsia" w:ascii="宋体" w:hAnsi="宋体" w:eastAsia="宋体" w:cs="宋体"/>
                <w:color w:val="000000"/>
                <w:sz w:val="21"/>
                <w:szCs w:val="21"/>
                <w:vertAlign w:val="subscript"/>
              </w:rPr>
              <w:t>1</w:t>
            </w:r>
            <w:r>
              <w:rPr>
                <w:rFonts w:hint="eastAsia" w:ascii="宋体" w:hAnsi="宋体" w:eastAsia="宋体" w:cs="宋体"/>
                <w:color w:val="000000"/>
                <w:sz w:val="21"/>
                <w:szCs w:val="21"/>
              </w:rPr>
              <w:t>，μg/kg ≤</w:t>
            </w:r>
          </w:p>
        </w:tc>
        <w:tc>
          <w:tcPr>
            <w:tcW w:w="2509" w:type="dxa"/>
            <w:tcBorders>
              <w:top w:val="outset" w:color="000000" w:sz="6" w:space="0"/>
              <w:left w:val="outset" w:color="000000" w:sz="6" w:space="0"/>
              <w:bottom w:val="outset" w:color="000000" w:sz="6" w:space="0"/>
              <w:right w:val="outset" w:color="000000" w:sz="6" w:space="0"/>
            </w:tcBorders>
            <w:vAlign w:val="center"/>
          </w:tcPr>
          <w:p w14:paraId="3AD3AC59">
            <w:pPr>
              <w:keepNext w:val="0"/>
              <w:keepLines w:val="0"/>
              <w:pageBreakBefore w:val="0"/>
              <w:kinsoku/>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20.0</w:t>
            </w:r>
          </w:p>
        </w:tc>
      </w:tr>
    </w:tbl>
    <w:p w14:paraId="15132A58">
      <w:pPr>
        <w:pStyle w:val="8"/>
        <w:keepNext w:val="0"/>
        <w:keepLines w:val="0"/>
        <w:pageBreakBefore w:val="0"/>
        <w:kinsoku/>
        <w:overflowPunct/>
        <w:topLinePunct w:val="0"/>
        <w:autoSpaceDE/>
        <w:autoSpaceDN/>
        <w:bidi w:val="0"/>
        <w:adjustRightInd/>
        <w:snapToGrid/>
        <w:spacing w:line="360" w:lineRule="auto"/>
        <w:ind w:firstLine="440"/>
        <w:textAlignment w:val="auto"/>
        <w:rPr>
          <w:rFonts w:hint="eastAsia" w:ascii="宋体" w:hAnsi="宋体" w:eastAsia="宋体" w:cs="宋体"/>
          <w:sz w:val="21"/>
          <w:szCs w:val="21"/>
          <w:lang w:val="en-US"/>
        </w:rPr>
      </w:pPr>
    </w:p>
    <w:p w14:paraId="787DD10F">
      <w:pPr>
        <w:keepNext w:val="0"/>
        <w:keepLines w:val="0"/>
        <w:pageBreakBefore w:val="0"/>
        <w:kinsoku/>
        <w:overflowPunct/>
        <w:topLinePunct w:val="0"/>
        <w:autoSpaceDE/>
        <w:autoSpaceDN/>
        <w:bidi w:val="0"/>
        <w:adjustRightInd/>
        <w:snapToGrid/>
        <w:spacing w:line="360" w:lineRule="auto"/>
        <w:jc w:val="center"/>
        <w:textAlignment w:val="auto"/>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表2 微生物指标（GB 14924.2-2001）</w:t>
      </w:r>
    </w:p>
    <w:tbl>
      <w:tblPr>
        <w:tblStyle w:val="4"/>
        <w:tblW w:w="0" w:type="auto"/>
        <w:jc w:val="center"/>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autofit"/>
        <w:tblCellMar>
          <w:top w:w="0" w:type="dxa"/>
          <w:left w:w="0" w:type="dxa"/>
          <w:bottom w:w="0" w:type="dxa"/>
          <w:right w:w="0" w:type="dxa"/>
        </w:tblCellMar>
      </w:tblPr>
      <w:tblGrid>
        <w:gridCol w:w="3462"/>
        <w:gridCol w:w="1985"/>
      </w:tblGrid>
      <w:tr w14:paraId="721E545A">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jc w:val="center"/>
        </w:trPr>
        <w:tc>
          <w:tcPr>
            <w:tcW w:w="3462" w:type="dxa"/>
            <w:tcBorders>
              <w:top w:val="outset" w:color="000000" w:sz="6" w:space="0"/>
              <w:left w:val="outset" w:color="000000" w:sz="6" w:space="0"/>
              <w:bottom w:val="outset" w:color="000000" w:sz="6" w:space="0"/>
              <w:right w:val="outset" w:color="000000" w:sz="6" w:space="0"/>
            </w:tcBorders>
            <w:vAlign w:val="center"/>
          </w:tcPr>
          <w:p w14:paraId="58550C5F">
            <w:pPr>
              <w:keepNext w:val="0"/>
              <w:keepLines w:val="0"/>
              <w:pageBreakBefore w:val="0"/>
              <w:kinsoku/>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项目</w:t>
            </w:r>
          </w:p>
        </w:tc>
        <w:tc>
          <w:tcPr>
            <w:tcW w:w="1985" w:type="dxa"/>
            <w:tcBorders>
              <w:top w:val="outset" w:color="000000" w:sz="6" w:space="0"/>
              <w:left w:val="outset" w:color="000000" w:sz="6" w:space="0"/>
              <w:bottom w:val="outset" w:color="000000" w:sz="6" w:space="0"/>
              <w:right w:val="outset" w:color="000000" w:sz="6" w:space="0"/>
            </w:tcBorders>
            <w:vAlign w:val="center"/>
          </w:tcPr>
          <w:p w14:paraId="7A02FD28">
            <w:pPr>
              <w:keepNext w:val="0"/>
              <w:keepLines w:val="0"/>
              <w:pageBreakBefore w:val="0"/>
              <w:kinsoku/>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指标</w:t>
            </w:r>
          </w:p>
        </w:tc>
      </w:tr>
      <w:tr w14:paraId="5212CB03">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jc w:val="center"/>
        </w:trPr>
        <w:tc>
          <w:tcPr>
            <w:tcW w:w="3462" w:type="dxa"/>
            <w:tcBorders>
              <w:top w:val="outset" w:color="000000" w:sz="6" w:space="0"/>
              <w:left w:val="outset" w:color="000000" w:sz="6" w:space="0"/>
              <w:bottom w:val="outset" w:color="000000" w:sz="6" w:space="0"/>
              <w:right w:val="outset" w:color="000000" w:sz="6" w:space="0"/>
            </w:tcBorders>
            <w:vAlign w:val="center"/>
          </w:tcPr>
          <w:p w14:paraId="625A9F24">
            <w:pPr>
              <w:keepNext w:val="0"/>
              <w:keepLines w:val="0"/>
              <w:pageBreakBefore w:val="0"/>
              <w:kinsoku/>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菌落总数，cfu/g ≤</w:t>
            </w:r>
          </w:p>
        </w:tc>
        <w:tc>
          <w:tcPr>
            <w:tcW w:w="1985" w:type="dxa"/>
            <w:tcBorders>
              <w:top w:val="outset" w:color="000000" w:sz="6" w:space="0"/>
              <w:left w:val="outset" w:color="000000" w:sz="6" w:space="0"/>
              <w:bottom w:val="outset" w:color="000000" w:sz="6" w:space="0"/>
              <w:right w:val="outset" w:color="000000" w:sz="6" w:space="0"/>
            </w:tcBorders>
            <w:vAlign w:val="center"/>
          </w:tcPr>
          <w:p w14:paraId="29A00172">
            <w:pPr>
              <w:keepNext w:val="0"/>
              <w:keepLines w:val="0"/>
              <w:pageBreakBefore w:val="0"/>
              <w:kinsoku/>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5×10</w:t>
            </w:r>
            <w:r>
              <w:rPr>
                <w:rFonts w:hint="eastAsia" w:ascii="宋体" w:hAnsi="宋体" w:eastAsia="宋体" w:cs="宋体"/>
                <w:color w:val="000000"/>
                <w:sz w:val="21"/>
                <w:szCs w:val="21"/>
                <w:vertAlign w:val="superscript"/>
              </w:rPr>
              <w:t>4</w:t>
            </w:r>
          </w:p>
        </w:tc>
      </w:tr>
      <w:tr w14:paraId="70C7F1B5">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jc w:val="center"/>
        </w:trPr>
        <w:tc>
          <w:tcPr>
            <w:tcW w:w="3462" w:type="dxa"/>
            <w:tcBorders>
              <w:top w:val="outset" w:color="000000" w:sz="6" w:space="0"/>
              <w:left w:val="outset" w:color="000000" w:sz="6" w:space="0"/>
              <w:bottom w:val="outset" w:color="000000" w:sz="6" w:space="0"/>
              <w:right w:val="outset" w:color="000000" w:sz="6" w:space="0"/>
            </w:tcBorders>
            <w:vAlign w:val="center"/>
          </w:tcPr>
          <w:p w14:paraId="7CE1AC2B">
            <w:pPr>
              <w:keepNext w:val="0"/>
              <w:keepLines w:val="0"/>
              <w:pageBreakBefore w:val="0"/>
              <w:kinsoku/>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大肠菌数，MPN/100g ≤</w:t>
            </w:r>
          </w:p>
        </w:tc>
        <w:tc>
          <w:tcPr>
            <w:tcW w:w="1985" w:type="dxa"/>
            <w:tcBorders>
              <w:top w:val="outset" w:color="000000" w:sz="6" w:space="0"/>
              <w:left w:val="outset" w:color="000000" w:sz="6" w:space="0"/>
              <w:bottom w:val="outset" w:color="000000" w:sz="6" w:space="0"/>
              <w:right w:val="outset" w:color="000000" w:sz="6" w:space="0"/>
            </w:tcBorders>
            <w:vAlign w:val="center"/>
          </w:tcPr>
          <w:p w14:paraId="2426F637">
            <w:pPr>
              <w:keepNext w:val="0"/>
              <w:keepLines w:val="0"/>
              <w:pageBreakBefore w:val="0"/>
              <w:kinsoku/>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30</w:t>
            </w:r>
          </w:p>
        </w:tc>
      </w:tr>
      <w:tr w14:paraId="7A902F1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jc w:val="center"/>
        </w:trPr>
        <w:tc>
          <w:tcPr>
            <w:tcW w:w="3462" w:type="dxa"/>
            <w:tcBorders>
              <w:top w:val="outset" w:color="000000" w:sz="6" w:space="0"/>
              <w:left w:val="outset" w:color="000000" w:sz="6" w:space="0"/>
              <w:bottom w:val="outset" w:color="000000" w:sz="6" w:space="0"/>
              <w:right w:val="outset" w:color="000000" w:sz="6" w:space="0"/>
            </w:tcBorders>
            <w:vAlign w:val="center"/>
          </w:tcPr>
          <w:p w14:paraId="43D5C13D">
            <w:pPr>
              <w:keepNext w:val="0"/>
              <w:keepLines w:val="0"/>
              <w:pageBreakBefore w:val="0"/>
              <w:kinsoku/>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霉菌和酵母数，cfu/g ≤</w:t>
            </w:r>
          </w:p>
        </w:tc>
        <w:tc>
          <w:tcPr>
            <w:tcW w:w="1985" w:type="dxa"/>
            <w:tcBorders>
              <w:top w:val="outset" w:color="000000" w:sz="6" w:space="0"/>
              <w:left w:val="outset" w:color="000000" w:sz="6" w:space="0"/>
              <w:bottom w:val="outset" w:color="000000" w:sz="6" w:space="0"/>
              <w:right w:val="outset" w:color="000000" w:sz="6" w:space="0"/>
            </w:tcBorders>
            <w:vAlign w:val="center"/>
          </w:tcPr>
          <w:p w14:paraId="65C40AC9">
            <w:pPr>
              <w:keepNext w:val="0"/>
              <w:keepLines w:val="0"/>
              <w:pageBreakBefore w:val="0"/>
              <w:kinsoku/>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r>
      <w:tr w14:paraId="226964EA">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trHeight w:val="318" w:hRule="atLeast"/>
          <w:jc w:val="center"/>
        </w:trPr>
        <w:tc>
          <w:tcPr>
            <w:tcW w:w="3462" w:type="dxa"/>
            <w:tcBorders>
              <w:top w:val="outset" w:color="000000" w:sz="6" w:space="0"/>
              <w:left w:val="outset" w:color="000000" w:sz="6" w:space="0"/>
              <w:bottom w:val="outset" w:color="000000" w:sz="6" w:space="0"/>
              <w:right w:val="outset" w:color="000000" w:sz="6" w:space="0"/>
            </w:tcBorders>
            <w:vAlign w:val="center"/>
          </w:tcPr>
          <w:p w14:paraId="4C647880">
            <w:pPr>
              <w:keepNext w:val="0"/>
              <w:keepLines w:val="0"/>
              <w:pageBreakBefore w:val="0"/>
              <w:kinsoku/>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致病菌（沙门氏菌）</w:t>
            </w:r>
          </w:p>
        </w:tc>
        <w:tc>
          <w:tcPr>
            <w:tcW w:w="1985" w:type="dxa"/>
            <w:tcBorders>
              <w:top w:val="outset" w:color="000000" w:sz="6" w:space="0"/>
              <w:left w:val="outset" w:color="000000" w:sz="6" w:space="0"/>
              <w:bottom w:val="outset" w:color="000000" w:sz="6" w:space="0"/>
              <w:right w:val="outset" w:color="000000" w:sz="6" w:space="0"/>
            </w:tcBorders>
            <w:vAlign w:val="center"/>
          </w:tcPr>
          <w:p w14:paraId="46738CFF">
            <w:pPr>
              <w:keepNext w:val="0"/>
              <w:keepLines w:val="0"/>
              <w:pageBreakBefore w:val="0"/>
              <w:kinsoku/>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不得检出</w:t>
            </w:r>
          </w:p>
        </w:tc>
      </w:tr>
    </w:tbl>
    <w:p w14:paraId="4C21680A">
      <w:pPr>
        <w:keepNext w:val="0"/>
        <w:keepLines w:val="0"/>
        <w:pageBreakBefore w:val="0"/>
        <w:widowControl/>
        <w:tabs>
          <w:tab w:val="left" w:pos="538"/>
        </w:tabs>
        <w:kinsoku/>
        <w:wordWrap w:val="0"/>
        <w:overflowPunct/>
        <w:topLinePunct w:val="0"/>
        <w:autoSpaceDE/>
        <w:autoSpaceDN/>
        <w:bidi w:val="0"/>
        <w:adjustRightInd/>
        <w:snapToGrid/>
        <w:spacing w:line="360" w:lineRule="auto"/>
        <w:ind w:left="0" w:leftChars="0" w:hanging="17" w:firstLineChars="0"/>
        <w:jc w:val="left"/>
        <w:textAlignment w:val="auto"/>
        <w:rPr>
          <w:rFonts w:hint="eastAsia" w:ascii="宋体" w:hAnsi="宋体" w:eastAsia="宋体" w:cs="宋体"/>
          <w:color w:val="000000"/>
          <w:kern w:val="0"/>
          <w:sz w:val="21"/>
          <w:szCs w:val="21"/>
          <w:lang w:eastAsia="zh-CN"/>
        </w:rPr>
      </w:pPr>
    </w:p>
    <w:p w14:paraId="7047920D">
      <w:pPr>
        <w:keepNext w:val="0"/>
        <w:keepLines w:val="0"/>
        <w:pageBreakBefore w:val="0"/>
        <w:widowControl/>
        <w:tabs>
          <w:tab w:val="left" w:pos="538"/>
        </w:tabs>
        <w:kinsoku/>
        <w:wordWrap w:val="0"/>
        <w:overflowPunct/>
        <w:topLinePunct w:val="0"/>
        <w:autoSpaceDE/>
        <w:autoSpaceDN/>
        <w:bidi w:val="0"/>
        <w:adjustRightInd/>
        <w:snapToGrid/>
        <w:spacing w:line="360" w:lineRule="auto"/>
        <w:ind w:left="0" w:leftChars="0" w:hanging="17" w:firstLineChars="0"/>
        <w:jc w:val="left"/>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5</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感官标准：均匀，新鲜、无杂质、无异味、无霉变、无发酵、无虫蛀及鼠咬。</w:t>
      </w:r>
    </w:p>
    <w:p w14:paraId="75E3EA8F">
      <w:pPr>
        <w:keepNext w:val="0"/>
        <w:keepLines w:val="0"/>
        <w:pageBreakBefore w:val="0"/>
        <w:widowControl/>
        <w:tabs>
          <w:tab w:val="left" w:pos="538"/>
        </w:tabs>
        <w:kinsoku/>
        <w:wordWrap w:val="0"/>
        <w:overflowPunct/>
        <w:topLinePunct w:val="0"/>
        <w:autoSpaceDE/>
        <w:autoSpaceDN/>
        <w:bidi w:val="0"/>
        <w:adjustRightInd/>
        <w:snapToGrid/>
        <w:spacing w:line="360" w:lineRule="auto"/>
        <w:ind w:left="0" w:leftChars="0" w:hanging="17" w:firstLineChars="0"/>
        <w:jc w:val="left"/>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6</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不含重金属及芳香类、挥发性物质的原料，无变质、无腐朽、无霉变、无虫蛀。</w:t>
      </w:r>
    </w:p>
    <w:p w14:paraId="71E0D245">
      <w:pPr>
        <w:keepNext w:val="0"/>
        <w:keepLines w:val="0"/>
        <w:pageBreakBefore w:val="0"/>
        <w:widowControl/>
        <w:tabs>
          <w:tab w:val="left" w:pos="538"/>
        </w:tabs>
        <w:kinsoku/>
        <w:wordWrap w:val="0"/>
        <w:overflowPunct/>
        <w:topLinePunct w:val="0"/>
        <w:autoSpaceDE/>
        <w:autoSpaceDN/>
        <w:bidi w:val="0"/>
        <w:adjustRightInd/>
        <w:snapToGrid/>
        <w:spacing w:line="360" w:lineRule="auto"/>
        <w:ind w:left="0" w:leftChars="0" w:hanging="17" w:firstLineChars="0"/>
        <w:jc w:val="left"/>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7</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物理性状：颗粒均匀、形态一致、吸水性好、无杂质、无异物、无针刺物。</w:t>
      </w:r>
    </w:p>
    <w:p w14:paraId="7373794B">
      <w:pPr>
        <w:keepNext w:val="0"/>
        <w:keepLines w:val="0"/>
        <w:pageBreakBefore w:val="0"/>
        <w:widowControl/>
        <w:tabs>
          <w:tab w:val="left" w:pos="538"/>
        </w:tabs>
        <w:kinsoku/>
        <w:wordWrap w:val="0"/>
        <w:overflowPunct/>
        <w:topLinePunct w:val="0"/>
        <w:autoSpaceDE/>
        <w:autoSpaceDN/>
        <w:bidi w:val="0"/>
        <w:adjustRightInd/>
        <w:snapToGrid/>
        <w:spacing w:line="360" w:lineRule="auto"/>
        <w:ind w:left="0" w:leftChars="0" w:hanging="17" w:firstLineChars="0"/>
        <w:jc w:val="left"/>
        <w:textAlignment w:val="auto"/>
        <w:rPr>
          <w:rFonts w:hint="default"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8</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包装：采用清洁的材料包装，包装必须密封，坚固，防水防潮；每包装单位重量或体积一致。</w:t>
      </w:r>
    </w:p>
    <w:p w14:paraId="31B6DC51">
      <w:pPr>
        <w:keepNext w:val="0"/>
        <w:keepLines w:val="0"/>
        <w:pageBreakBefore w:val="0"/>
        <w:widowControl/>
        <w:tabs>
          <w:tab w:val="left" w:pos="538"/>
        </w:tabs>
        <w:kinsoku/>
        <w:wordWrap w:val="0"/>
        <w:overflowPunct/>
        <w:topLinePunct w:val="0"/>
        <w:autoSpaceDE/>
        <w:autoSpaceDN/>
        <w:bidi w:val="0"/>
        <w:adjustRightInd/>
        <w:snapToGrid/>
        <w:spacing w:line="360" w:lineRule="auto"/>
        <w:ind w:left="0" w:leftChars="0" w:hanging="17" w:firstLineChars="0"/>
        <w:jc w:val="left"/>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9</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运输：运输工具清洁、卫生，运输过程避免日晒雨淋</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积压，不能和有毒有害的物品混装。</w:t>
      </w:r>
    </w:p>
    <w:p w14:paraId="58024BB9">
      <w:pPr>
        <w:keepNext w:val="0"/>
        <w:keepLines w:val="0"/>
        <w:pageBreakBefore w:val="0"/>
        <w:widowControl/>
        <w:tabs>
          <w:tab w:val="left" w:pos="538"/>
        </w:tabs>
        <w:kinsoku/>
        <w:wordWrap w:val="0"/>
        <w:overflowPunct/>
        <w:topLinePunct w:val="0"/>
        <w:autoSpaceDE/>
        <w:autoSpaceDN/>
        <w:bidi w:val="0"/>
        <w:adjustRightInd/>
        <w:snapToGrid/>
        <w:spacing w:line="360" w:lineRule="auto"/>
        <w:ind w:left="0" w:leftChars="0" w:hanging="17" w:firstLineChars="0"/>
        <w:jc w:val="left"/>
        <w:rPr>
          <w:rFonts w:hint="eastAsia" w:ascii="宋体" w:hAnsi="宋体" w:eastAsia="宋体" w:cs="宋体"/>
          <w:color w:val="000000"/>
          <w:kern w:val="0"/>
          <w:sz w:val="21"/>
          <w:szCs w:val="21"/>
          <w:highlight w:val="yellow"/>
          <w:lang w:val="en-US" w:eastAsia="zh-CN"/>
        </w:rPr>
      </w:pPr>
    </w:p>
    <w:p w14:paraId="39E3DF2F">
      <w:pPr>
        <w:keepNext w:val="0"/>
        <w:keepLines w:val="0"/>
        <w:pageBreakBefore w:val="0"/>
        <w:widowControl/>
        <w:kinsoku/>
        <w:wordWrap w:val="0"/>
        <w:overflowPunct/>
        <w:topLinePunct w:val="0"/>
        <w:autoSpaceDE/>
        <w:autoSpaceDN/>
        <w:bidi w:val="0"/>
        <w:adjustRightInd/>
        <w:snapToGrid/>
        <w:spacing w:line="360" w:lineRule="auto"/>
        <w:jc w:val="left"/>
        <w:rPr>
          <w:rFonts w:hint="eastAsia" w:ascii="宋体" w:hAnsi="宋体" w:eastAsia="宋体" w:cs="宋体"/>
          <w:b/>
          <w:bCs/>
          <w:color w:val="000000"/>
          <w:kern w:val="0"/>
          <w:sz w:val="21"/>
          <w:szCs w:val="21"/>
          <w:lang w:val="en-US" w:eastAsia="zh-CN"/>
        </w:rPr>
      </w:pPr>
      <w:r>
        <w:rPr>
          <w:rFonts w:hint="eastAsia" w:ascii="宋体" w:hAnsi="宋体" w:eastAsia="宋体" w:cs="宋体"/>
          <w:b/>
          <w:bCs/>
          <w:color w:val="000000"/>
          <w:kern w:val="0"/>
          <w:sz w:val="21"/>
          <w:szCs w:val="21"/>
          <w:lang w:val="en-US" w:eastAsia="zh-CN"/>
        </w:rPr>
        <w:t>2.巢料片（实验动物纸质垫料纸棒）</w:t>
      </w:r>
    </w:p>
    <w:p w14:paraId="7DA7CF4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1</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直径6mm，长度0.5-1cm</w:t>
      </w:r>
      <w:r>
        <w:rPr>
          <w:rFonts w:hint="eastAsia" w:ascii="宋体" w:hAnsi="宋体" w:eastAsia="宋体" w:cs="宋体"/>
          <w:color w:val="000000"/>
          <w:kern w:val="0"/>
          <w:sz w:val="21"/>
          <w:szCs w:val="21"/>
          <w:lang w:eastAsia="zh-CN"/>
        </w:rPr>
        <w:t>。</w:t>
      </w:r>
    </w:p>
    <w:p w14:paraId="4E6E2005">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2</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圆柱形，纯纸浆生产</w:t>
      </w:r>
      <w:r>
        <w:rPr>
          <w:rFonts w:hint="eastAsia" w:ascii="宋体" w:hAnsi="宋体" w:eastAsia="宋体" w:cs="宋体"/>
          <w:color w:val="000000"/>
          <w:kern w:val="0"/>
          <w:sz w:val="21"/>
          <w:szCs w:val="21"/>
          <w:lang w:eastAsia="zh-CN"/>
        </w:rPr>
        <w:t>。</w:t>
      </w:r>
    </w:p>
    <w:p w14:paraId="6178AC55">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3</w:t>
      </w:r>
      <w:r>
        <w:rPr>
          <w:rFonts w:hint="eastAsia" w:ascii="宋体" w:hAnsi="宋体" w:eastAsia="宋体" w:cs="宋体"/>
          <w:color w:val="000000"/>
          <w:kern w:val="0"/>
          <w:sz w:val="21"/>
          <w:szCs w:val="21"/>
          <w:lang w:eastAsia="zh-CN"/>
        </w:rPr>
        <w:t>）</w:t>
      </w:r>
      <w:r>
        <w:rPr>
          <w:rFonts w:hint="eastAsia" w:ascii="宋体" w:hAnsi="宋体" w:eastAsia="宋体" w:cs="宋体"/>
          <w:b/>
          <w:bCs/>
          <w:color w:val="000000"/>
          <w:kern w:val="0"/>
          <w:sz w:val="21"/>
          <w:szCs w:val="21"/>
          <w:lang w:val="en-US" w:eastAsia="zh-CN"/>
        </w:rPr>
        <w:t>提供2024年至今具有检测资质的</w:t>
      </w:r>
      <w:r>
        <w:rPr>
          <w:rFonts w:hint="eastAsia" w:ascii="宋体" w:hAnsi="宋体" w:eastAsia="宋体" w:cs="宋体"/>
          <w:b/>
          <w:bCs/>
          <w:color w:val="000000"/>
          <w:kern w:val="0"/>
          <w:sz w:val="21"/>
          <w:szCs w:val="21"/>
          <w:lang w:eastAsia="zh-CN"/>
        </w:rPr>
        <w:t>第三方</w:t>
      </w:r>
      <w:r>
        <w:rPr>
          <w:rFonts w:hint="eastAsia" w:ascii="宋体" w:hAnsi="宋体" w:eastAsia="宋体" w:cs="宋体"/>
          <w:b/>
          <w:bCs/>
          <w:color w:val="000000"/>
          <w:kern w:val="0"/>
          <w:sz w:val="21"/>
          <w:szCs w:val="21"/>
          <w:lang w:val="en-US" w:eastAsia="zh-CN"/>
        </w:rPr>
        <w:t>检测机构出具的检测</w:t>
      </w:r>
      <w:r>
        <w:rPr>
          <w:rFonts w:hint="eastAsia" w:ascii="宋体" w:hAnsi="宋体" w:eastAsia="宋体" w:cs="宋体"/>
          <w:b/>
          <w:bCs/>
          <w:color w:val="000000"/>
          <w:kern w:val="0"/>
          <w:sz w:val="21"/>
          <w:szCs w:val="21"/>
          <w:lang w:eastAsia="zh-CN"/>
        </w:rPr>
        <w:t>报告</w:t>
      </w:r>
      <w:r>
        <w:rPr>
          <w:rFonts w:hint="eastAsia" w:ascii="宋体" w:hAnsi="宋体" w:eastAsia="宋体" w:cs="宋体"/>
          <w:color w:val="000000"/>
          <w:kern w:val="0"/>
          <w:sz w:val="21"/>
          <w:szCs w:val="21"/>
        </w:rPr>
        <w:t>，检验</w:t>
      </w:r>
      <w:r>
        <w:rPr>
          <w:rFonts w:hint="eastAsia" w:ascii="宋体" w:hAnsi="宋体" w:eastAsia="宋体" w:cs="宋体"/>
          <w:color w:val="000000"/>
          <w:kern w:val="0"/>
          <w:sz w:val="21"/>
          <w:szCs w:val="21"/>
          <w:lang w:val="en-US" w:eastAsia="zh-CN"/>
        </w:rPr>
        <w:t>内容包括</w:t>
      </w:r>
      <w:r>
        <w:rPr>
          <w:rFonts w:hint="eastAsia" w:ascii="宋体" w:hAnsi="宋体" w:eastAsia="宋体" w:cs="宋体"/>
          <w:color w:val="000000"/>
          <w:kern w:val="0"/>
          <w:sz w:val="21"/>
          <w:szCs w:val="21"/>
        </w:rPr>
        <w:t>吸水性</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微生物</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化学污染指标</w:t>
      </w:r>
      <w:r>
        <w:rPr>
          <w:rFonts w:hint="eastAsia" w:ascii="宋体" w:hAnsi="宋体" w:eastAsia="宋体" w:cs="宋体"/>
          <w:color w:val="000000"/>
          <w:kern w:val="0"/>
          <w:sz w:val="21"/>
          <w:szCs w:val="21"/>
          <w:lang w:eastAsia="zh-CN"/>
        </w:rPr>
        <w:t>。</w:t>
      </w:r>
    </w:p>
    <w:p w14:paraId="5E309DB6">
      <w:pPr>
        <w:keepNext w:val="0"/>
        <w:keepLines w:val="0"/>
        <w:pageBreakBefore w:val="0"/>
        <w:numPr>
          <w:ilvl w:val="0"/>
          <w:numId w:val="0"/>
        </w:numPr>
        <w:kinsoku/>
        <w:overflowPunct/>
        <w:topLinePunct w:val="0"/>
        <w:autoSpaceDE/>
        <w:autoSpaceDN/>
        <w:bidi w:val="0"/>
        <w:adjustRightInd/>
        <w:snapToGrid/>
        <w:spacing w:line="360" w:lineRule="auto"/>
        <w:rPr>
          <w:rFonts w:hint="eastAsia" w:ascii="宋体" w:hAnsi="宋体" w:eastAsia="宋体" w:cs="宋体"/>
          <w:sz w:val="21"/>
          <w:szCs w:val="21"/>
          <w:lang w:val="en-US" w:eastAsia="zh-CN"/>
        </w:rPr>
      </w:pPr>
    </w:p>
    <w:p w14:paraId="2B64F0AE">
      <w:pPr>
        <w:keepNext w:val="0"/>
        <w:keepLines w:val="0"/>
        <w:pageBreakBefore w:val="0"/>
        <w:widowControl/>
        <w:kinsoku/>
        <w:wordWrap w:val="0"/>
        <w:overflowPunct/>
        <w:topLinePunct w:val="0"/>
        <w:autoSpaceDE/>
        <w:autoSpaceDN/>
        <w:bidi w:val="0"/>
        <w:adjustRightInd/>
        <w:snapToGrid/>
        <w:spacing w:line="360" w:lineRule="auto"/>
        <w:jc w:val="left"/>
        <w:rPr>
          <w:rFonts w:hint="eastAsia" w:ascii="宋体" w:hAnsi="宋体" w:eastAsia="宋体" w:cs="宋体"/>
          <w:b/>
          <w:bCs/>
          <w:color w:val="000000"/>
          <w:kern w:val="0"/>
          <w:sz w:val="21"/>
          <w:szCs w:val="21"/>
          <w:lang w:val="en-US" w:eastAsia="zh-CN"/>
        </w:rPr>
      </w:pPr>
      <w:r>
        <w:rPr>
          <w:rFonts w:hint="eastAsia" w:ascii="宋体" w:hAnsi="宋体" w:eastAsia="宋体" w:cs="宋体"/>
          <w:b/>
          <w:bCs/>
          <w:color w:val="000000"/>
          <w:kern w:val="0"/>
          <w:sz w:val="21"/>
          <w:szCs w:val="21"/>
          <w:lang w:val="en-US" w:eastAsia="zh-CN"/>
        </w:rPr>
        <w:t>3.实验动物葵花籽</w:t>
      </w:r>
    </w:p>
    <w:p w14:paraId="4A31272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1</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食品级生瓜子：原味，瓜子壳黑心白边，整体黑中略灰，皮薄仁大，保存于阴凉干燥处保存。</w:t>
      </w:r>
    </w:p>
    <w:p w14:paraId="75FE5351">
      <w:pPr>
        <w:keepNext w:val="0"/>
        <w:keepLines w:val="0"/>
        <w:pageBreakBefore w:val="0"/>
        <w:widowControl w:val="0"/>
        <w:numPr>
          <w:ilvl w:val="0"/>
          <w:numId w:val="0"/>
        </w:numPr>
        <w:kinsoku/>
        <w:overflowPunct/>
        <w:topLinePunct w:val="0"/>
        <w:autoSpaceDE/>
        <w:autoSpaceDN/>
        <w:bidi w:val="0"/>
        <w:adjustRightInd/>
        <w:snapToGrid/>
        <w:spacing w:line="360" w:lineRule="auto"/>
        <w:jc w:val="both"/>
        <w:rPr>
          <w:rFonts w:hint="eastAsia" w:ascii="宋体" w:hAnsi="宋体" w:eastAsia="宋体" w:cs="宋体"/>
          <w:color w:val="000000"/>
          <w:kern w:val="0"/>
          <w:sz w:val="21"/>
          <w:szCs w:val="21"/>
        </w:rPr>
      </w:pPr>
    </w:p>
    <w:p w14:paraId="404BEF6F">
      <w:pPr>
        <w:keepNext w:val="0"/>
        <w:keepLines w:val="0"/>
        <w:pageBreakBefore w:val="0"/>
        <w:widowControl/>
        <w:kinsoku/>
        <w:wordWrap w:val="0"/>
        <w:overflowPunct/>
        <w:topLinePunct w:val="0"/>
        <w:autoSpaceDE/>
        <w:autoSpaceDN/>
        <w:bidi w:val="0"/>
        <w:adjustRightInd/>
        <w:snapToGrid/>
        <w:spacing w:line="360" w:lineRule="auto"/>
        <w:jc w:val="left"/>
        <w:rPr>
          <w:rFonts w:hint="default" w:ascii="宋体" w:hAnsi="宋体" w:eastAsia="宋体" w:cs="宋体"/>
          <w:b/>
          <w:bCs/>
          <w:color w:val="000000"/>
          <w:kern w:val="0"/>
          <w:sz w:val="21"/>
          <w:szCs w:val="21"/>
          <w:lang w:val="en-US" w:eastAsia="zh-CN"/>
        </w:rPr>
      </w:pPr>
      <w:r>
        <w:rPr>
          <w:rFonts w:hint="eastAsia" w:ascii="宋体" w:hAnsi="宋体" w:eastAsia="宋体" w:cs="宋体"/>
          <w:b/>
          <w:bCs/>
          <w:color w:val="000000"/>
          <w:kern w:val="0"/>
          <w:sz w:val="21"/>
          <w:szCs w:val="21"/>
          <w:lang w:val="en-US" w:eastAsia="zh-CN"/>
        </w:rPr>
        <w:t>4.实验用压缩刨花垫料</w:t>
      </w:r>
    </w:p>
    <w:p w14:paraId="2564224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1</w:t>
      </w:r>
      <w:r>
        <w:rPr>
          <w:rFonts w:hint="eastAsia" w:ascii="宋体" w:hAnsi="宋体" w:eastAsia="宋体" w:cs="宋体"/>
          <w:color w:val="000000"/>
          <w:kern w:val="0"/>
          <w:sz w:val="21"/>
          <w:szCs w:val="21"/>
          <w:lang w:eastAsia="zh-CN"/>
        </w:rPr>
        <w:t>）压缩型白杨木垫料，原料：100%白杨木，水分含量</w:t>
      </w:r>
      <w:r>
        <w:rPr>
          <w:rFonts w:hint="eastAsia" w:ascii="宋体" w:hAnsi="宋体" w:eastAsia="宋体" w:cs="宋体"/>
          <w:color w:val="000000"/>
          <w:kern w:val="0"/>
          <w:sz w:val="21"/>
          <w:szCs w:val="21"/>
          <w:highlight w:val="none"/>
          <w:lang w:eastAsia="zh-CN"/>
        </w:rPr>
        <w:t>：小于12%，</w:t>
      </w:r>
      <w:r>
        <w:rPr>
          <w:rFonts w:hint="eastAsia" w:ascii="宋体" w:hAnsi="宋体" w:eastAsia="宋体" w:cs="宋体"/>
          <w:b/>
          <w:bCs/>
          <w:color w:val="000000"/>
          <w:kern w:val="0"/>
          <w:sz w:val="21"/>
          <w:szCs w:val="21"/>
          <w:lang w:val="en-US" w:eastAsia="zh-CN"/>
        </w:rPr>
        <w:t>提供2024年至今具有检测资质的</w:t>
      </w:r>
      <w:r>
        <w:rPr>
          <w:rFonts w:hint="eastAsia" w:ascii="宋体" w:hAnsi="宋体" w:eastAsia="宋体" w:cs="宋体"/>
          <w:b/>
          <w:bCs/>
          <w:color w:val="000000"/>
          <w:kern w:val="0"/>
          <w:sz w:val="21"/>
          <w:szCs w:val="21"/>
          <w:lang w:eastAsia="zh-CN"/>
        </w:rPr>
        <w:t>第三方</w:t>
      </w:r>
      <w:r>
        <w:rPr>
          <w:rFonts w:hint="eastAsia" w:ascii="宋体" w:hAnsi="宋体" w:eastAsia="宋体" w:cs="宋体"/>
          <w:b/>
          <w:bCs/>
          <w:color w:val="000000"/>
          <w:kern w:val="0"/>
          <w:sz w:val="21"/>
          <w:szCs w:val="21"/>
          <w:lang w:val="en-US" w:eastAsia="zh-CN"/>
        </w:rPr>
        <w:t>检测机构出具的关于水份含量的检测</w:t>
      </w:r>
      <w:r>
        <w:rPr>
          <w:rFonts w:hint="eastAsia" w:ascii="宋体" w:hAnsi="宋体" w:eastAsia="宋体" w:cs="宋体"/>
          <w:b/>
          <w:bCs/>
          <w:color w:val="000000"/>
          <w:kern w:val="0"/>
          <w:sz w:val="21"/>
          <w:szCs w:val="21"/>
          <w:lang w:eastAsia="zh-CN"/>
        </w:rPr>
        <w:t>报告。</w:t>
      </w:r>
    </w:p>
    <w:p w14:paraId="12F1931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2</w:t>
      </w:r>
      <w:r>
        <w:rPr>
          <w:rFonts w:hint="eastAsia" w:ascii="宋体" w:hAnsi="宋体" w:eastAsia="宋体" w:cs="宋体"/>
          <w:color w:val="000000"/>
          <w:kern w:val="0"/>
          <w:sz w:val="21"/>
          <w:szCs w:val="21"/>
          <w:lang w:eastAsia="zh-CN"/>
        </w:rPr>
        <w:t>）规格：压缩型，形状为刨花状，10mm*5mm*0.5mm大小均匀。</w:t>
      </w:r>
    </w:p>
    <w:p w14:paraId="4D80069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3</w:t>
      </w:r>
      <w:r>
        <w:rPr>
          <w:rFonts w:hint="eastAsia" w:ascii="宋体" w:hAnsi="宋体" w:eastAsia="宋体" w:cs="宋体"/>
          <w:color w:val="000000"/>
          <w:kern w:val="0"/>
          <w:sz w:val="21"/>
          <w:szCs w:val="21"/>
          <w:lang w:eastAsia="zh-CN"/>
        </w:rPr>
        <w:t>）杂质和粉尘：&lt;1g/kg，可高温高压灭菌。</w:t>
      </w:r>
    </w:p>
    <w:p w14:paraId="32EC86B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4</w:t>
      </w:r>
      <w:r>
        <w:rPr>
          <w:rFonts w:hint="eastAsia" w:ascii="宋体" w:hAnsi="宋体" w:eastAsia="宋体" w:cs="宋体"/>
          <w:color w:val="000000"/>
          <w:kern w:val="0"/>
          <w:sz w:val="21"/>
          <w:szCs w:val="21"/>
          <w:lang w:eastAsia="zh-CN"/>
        </w:rPr>
        <w:t>）化学污染物指标、微生物指标需满足国家标准GB 14924.2-2001（</w:t>
      </w:r>
      <w:r>
        <w:rPr>
          <w:rFonts w:hint="eastAsia" w:ascii="宋体" w:hAnsi="宋体" w:eastAsia="宋体" w:cs="宋体"/>
          <w:color w:val="000000"/>
          <w:kern w:val="0"/>
          <w:sz w:val="21"/>
          <w:szCs w:val="21"/>
          <w:lang w:val="en-US" w:eastAsia="zh-CN"/>
        </w:rPr>
        <w:t>详见下表</w:t>
      </w:r>
      <w:r>
        <w:rPr>
          <w:rFonts w:hint="eastAsia" w:ascii="宋体" w:hAnsi="宋体" w:eastAsia="宋体" w:cs="宋体"/>
          <w:color w:val="000000"/>
          <w:kern w:val="0"/>
          <w:sz w:val="21"/>
          <w:szCs w:val="21"/>
          <w:lang w:eastAsia="zh-CN"/>
        </w:rPr>
        <w:t>）</w:t>
      </w:r>
      <w:r>
        <w:rPr>
          <w:rFonts w:hint="eastAsia" w:ascii="宋体" w:hAnsi="宋体" w:eastAsia="宋体" w:cs="宋体"/>
          <w:sz w:val="21"/>
          <w:szCs w:val="21"/>
          <w:lang w:eastAsia="zh-CN"/>
        </w:rPr>
        <w:t>，</w:t>
      </w:r>
      <w:r>
        <w:rPr>
          <w:rFonts w:hint="eastAsia" w:ascii="宋体" w:hAnsi="宋体" w:eastAsia="宋体" w:cs="宋体"/>
          <w:b/>
          <w:bCs/>
          <w:color w:val="000000"/>
          <w:kern w:val="0"/>
          <w:sz w:val="21"/>
          <w:szCs w:val="21"/>
          <w:lang w:val="en-US" w:eastAsia="zh-CN"/>
        </w:rPr>
        <w:t>提供2024年至今具有检测资质的</w:t>
      </w:r>
      <w:r>
        <w:rPr>
          <w:rFonts w:hint="eastAsia" w:ascii="宋体" w:hAnsi="宋体" w:eastAsia="宋体" w:cs="宋体"/>
          <w:b/>
          <w:bCs/>
          <w:color w:val="000000"/>
          <w:kern w:val="0"/>
          <w:sz w:val="21"/>
          <w:szCs w:val="21"/>
          <w:lang w:eastAsia="zh-CN"/>
        </w:rPr>
        <w:t>第三方</w:t>
      </w:r>
      <w:r>
        <w:rPr>
          <w:rFonts w:hint="eastAsia" w:ascii="宋体" w:hAnsi="宋体" w:eastAsia="宋体" w:cs="宋体"/>
          <w:b/>
          <w:bCs/>
          <w:color w:val="000000"/>
          <w:kern w:val="0"/>
          <w:sz w:val="21"/>
          <w:szCs w:val="21"/>
          <w:lang w:val="en-US" w:eastAsia="zh-CN"/>
        </w:rPr>
        <w:t>检测机构出具的检测</w:t>
      </w:r>
      <w:r>
        <w:rPr>
          <w:rFonts w:hint="eastAsia" w:ascii="宋体" w:hAnsi="宋体" w:eastAsia="宋体" w:cs="宋体"/>
          <w:b/>
          <w:bCs/>
          <w:color w:val="000000"/>
          <w:kern w:val="0"/>
          <w:sz w:val="21"/>
          <w:szCs w:val="21"/>
          <w:lang w:eastAsia="zh-CN"/>
        </w:rPr>
        <w:t>报告</w:t>
      </w:r>
      <w:r>
        <w:rPr>
          <w:rFonts w:hint="eastAsia" w:ascii="宋体" w:hAnsi="宋体" w:eastAsia="宋体" w:cs="宋体"/>
          <w:color w:val="000000"/>
          <w:kern w:val="0"/>
          <w:sz w:val="21"/>
          <w:szCs w:val="21"/>
          <w:lang w:eastAsia="zh-CN"/>
        </w:rPr>
        <w:t>（含下面检验项目内容）。</w:t>
      </w:r>
    </w:p>
    <w:p w14:paraId="53A918E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表</w:t>
      </w:r>
      <w:r>
        <w:rPr>
          <w:rFonts w:hint="eastAsia" w:ascii="宋体" w:hAnsi="宋体" w:eastAsia="宋体" w:cs="宋体"/>
          <w:color w:val="000000"/>
          <w:kern w:val="0"/>
          <w:sz w:val="21"/>
          <w:szCs w:val="21"/>
          <w:lang w:val="en-US" w:eastAsia="zh-CN"/>
        </w:rPr>
        <w:t xml:space="preserve">3 </w:t>
      </w:r>
      <w:r>
        <w:rPr>
          <w:rFonts w:hint="eastAsia" w:ascii="宋体" w:hAnsi="宋体" w:eastAsia="宋体" w:cs="宋体"/>
          <w:color w:val="000000"/>
          <w:kern w:val="0"/>
          <w:sz w:val="21"/>
          <w:szCs w:val="21"/>
          <w:lang w:eastAsia="zh-CN"/>
        </w:rPr>
        <w:t>化学污染物指标</w:t>
      </w:r>
    </w:p>
    <w:tbl>
      <w:tblPr>
        <w:tblStyle w:val="4"/>
        <w:tblW w:w="4834" w:type="dxa"/>
        <w:jc w:val="center"/>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fixed"/>
        <w:tblCellMar>
          <w:top w:w="0" w:type="dxa"/>
          <w:left w:w="0" w:type="dxa"/>
          <w:bottom w:w="0" w:type="dxa"/>
          <w:right w:w="0" w:type="dxa"/>
        </w:tblCellMar>
      </w:tblPr>
      <w:tblGrid>
        <w:gridCol w:w="2894"/>
        <w:gridCol w:w="1940"/>
      </w:tblGrid>
      <w:tr w14:paraId="7EBABE9A">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jc w:val="center"/>
        </w:trPr>
        <w:tc>
          <w:tcPr>
            <w:tcW w:w="2894" w:type="dxa"/>
            <w:tcBorders>
              <w:top w:val="outset" w:color="000000" w:sz="6" w:space="0"/>
              <w:left w:val="outset" w:color="000000" w:sz="6" w:space="0"/>
              <w:bottom w:val="outset" w:color="000000" w:sz="6" w:space="0"/>
              <w:right w:val="outset" w:color="000000" w:sz="6" w:space="0"/>
            </w:tcBorders>
            <w:vAlign w:val="center"/>
          </w:tcPr>
          <w:p w14:paraId="55E4E8C4">
            <w:pPr>
              <w:keepNext w:val="0"/>
              <w:keepLines w:val="0"/>
              <w:pageBreakBefore w:val="0"/>
              <w:kinsoku/>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项 目</w:t>
            </w:r>
          </w:p>
        </w:tc>
        <w:tc>
          <w:tcPr>
            <w:tcW w:w="1940" w:type="dxa"/>
            <w:tcBorders>
              <w:top w:val="outset" w:color="000000" w:sz="6" w:space="0"/>
              <w:left w:val="outset" w:color="000000" w:sz="6" w:space="0"/>
              <w:bottom w:val="outset" w:color="000000" w:sz="6" w:space="0"/>
              <w:right w:val="outset" w:color="000000" w:sz="6" w:space="0"/>
            </w:tcBorders>
            <w:vAlign w:val="center"/>
          </w:tcPr>
          <w:p w14:paraId="0A23F31C">
            <w:pPr>
              <w:keepNext w:val="0"/>
              <w:keepLines w:val="0"/>
              <w:pageBreakBefore w:val="0"/>
              <w:kinsoku/>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指 标</w:t>
            </w:r>
          </w:p>
        </w:tc>
      </w:tr>
      <w:tr w14:paraId="4603F95E">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894" w:type="dxa"/>
            <w:tcBorders>
              <w:top w:val="outset" w:color="000000" w:sz="6" w:space="0"/>
              <w:left w:val="outset" w:color="000000" w:sz="6" w:space="0"/>
              <w:bottom w:val="outset" w:color="000000" w:sz="6" w:space="0"/>
              <w:right w:val="outset" w:color="000000" w:sz="6" w:space="0"/>
            </w:tcBorders>
            <w:vAlign w:val="center"/>
          </w:tcPr>
          <w:p w14:paraId="3506CD4A">
            <w:pPr>
              <w:keepNext w:val="0"/>
              <w:keepLines w:val="0"/>
              <w:pageBreakBefore w:val="0"/>
              <w:kinsoku/>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砷，mg/kg ≤</w:t>
            </w:r>
          </w:p>
        </w:tc>
        <w:tc>
          <w:tcPr>
            <w:tcW w:w="1940" w:type="dxa"/>
            <w:tcBorders>
              <w:top w:val="outset" w:color="000000" w:sz="6" w:space="0"/>
              <w:left w:val="outset" w:color="000000" w:sz="6" w:space="0"/>
              <w:bottom w:val="outset" w:color="000000" w:sz="6" w:space="0"/>
              <w:right w:val="outset" w:color="000000" w:sz="6" w:space="0"/>
            </w:tcBorders>
            <w:vAlign w:val="center"/>
          </w:tcPr>
          <w:p w14:paraId="0156AFF7">
            <w:pPr>
              <w:keepNext w:val="0"/>
              <w:keepLines w:val="0"/>
              <w:pageBreakBefore w:val="0"/>
              <w:kinsoku/>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0.7</w:t>
            </w:r>
          </w:p>
        </w:tc>
      </w:tr>
      <w:tr w14:paraId="16C8304D">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jc w:val="center"/>
        </w:trPr>
        <w:tc>
          <w:tcPr>
            <w:tcW w:w="2894" w:type="dxa"/>
            <w:tcBorders>
              <w:top w:val="outset" w:color="000000" w:sz="6" w:space="0"/>
              <w:left w:val="outset" w:color="000000" w:sz="6" w:space="0"/>
              <w:bottom w:val="outset" w:color="000000" w:sz="6" w:space="0"/>
              <w:right w:val="outset" w:color="000000" w:sz="6" w:space="0"/>
            </w:tcBorders>
            <w:vAlign w:val="center"/>
          </w:tcPr>
          <w:p w14:paraId="018D00FC">
            <w:pPr>
              <w:keepNext w:val="0"/>
              <w:keepLines w:val="0"/>
              <w:pageBreakBefore w:val="0"/>
              <w:kinsoku/>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铅，mg/kg ≤</w:t>
            </w:r>
          </w:p>
        </w:tc>
        <w:tc>
          <w:tcPr>
            <w:tcW w:w="1940" w:type="dxa"/>
            <w:tcBorders>
              <w:top w:val="outset" w:color="000000" w:sz="6" w:space="0"/>
              <w:left w:val="outset" w:color="000000" w:sz="6" w:space="0"/>
              <w:bottom w:val="outset" w:color="000000" w:sz="6" w:space="0"/>
              <w:right w:val="outset" w:color="000000" w:sz="6" w:space="0"/>
            </w:tcBorders>
            <w:vAlign w:val="center"/>
          </w:tcPr>
          <w:p w14:paraId="571C7FE4">
            <w:pPr>
              <w:keepNext w:val="0"/>
              <w:keepLines w:val="0"/>
              <w:pageBreakBefore w:val="0"/>
              <w:kinsoku/>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1.0</w:t>
            </w:r>
          </w:p>
        </w:tc>
      </w:tr>
      <w:tr w14:paraId="2099CB02">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jc w:val="center"/>
        </w:trPr>
        <w:tc>
          <w:tcPr>
            <w:tcW w:w="2894" w:type="dxa"/>
            <w:tcBorders>
              <w:top w:val="outset" w:color="000000" w:sz="6" w:space="0"/>
              <w:left w:val="outset" w:color="000000" w:sz="6" w:space="0"/>
              <w:bottom w:val="outset" w:color="000000" w:sz="6" w:space="0"/>
              <w:right w:val="outset" w:color="000000" w:sz="6" w:space="0"/>
            </w:tcBorders>
            <w:vAlign w:val="center"/>
          </w:tcPr>
          <w:p w14:paraId="646F3D56">
            <w:pPr>
              <w:keepNext w:val="0"/>
              <w:keepLines w:val="0"/>
              <w:pageBreakBefore w:val="0"/>
              <w:kinsoku/>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镉，mg/kg ≤</w:t>
            </w:r>
          </w:p>
        </w:tc>
        <w:tc>
          <w:tcPr>
            <w:tcW w:w="1940" w:type="dxa"/>
            <w:tcBorders>
              <w:top w:val="outset" w:color="000000" w:sz="6" w:space="0"/>
              <w:left w:val="outset" w:color="000000" w:sz="6" w:space="0"/>
              <w:bottom w:val="outset" w:color="000000" w:sz="6" w:space="0"/>
              <w:right w:val="outset" w:color="000000" w:sz="6" w:space="0"/>
            </w:tcBorders>
            <w:vAlign w:val="center"/>
          </w:tcPr>
          <w:p w14:paraId="15F28A60">
            <w:pPr>
              <w:keepNext w:val="0"/>
              <w:keepLines w:val="0"/>
              <w:pageBreakBefore w:val="0"/>
              <w:kinsoku/>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0.2</w:t>
            </w:r>
          </w:p>
        </w:tc>
      </w:tr>
      <w:tr w14:paraId="33BBF733">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jc w:val="center"/>
        </w:trPr>
        <w:tc>
          <w:tcPr>
            <w:tcW w:w="2894" w:type="dxa"/>
            <w:tcBorders>
              <w:top w:val="outset" w:color="000000" w:sz="6" w:space="0"/>
              <w:left w:val="outset" w:color="000000" w:sz="6" w:space="0"/>
              <w:bottom w:val="outset" w:color="000000" w:sz="6" w:space="0"/>
              <w:right w:val="outset" w:color="000000" w:sz="6" w:space="0"/>
            </w:tcBorders>
            <w:vAlign w:val="center"/>
          </w:tcPr>
          <w:p w14:paraId="0B57C668">
            <w:pPr>
              <w:keepNext w:val="0"/>
              <w:keepLines w:val="0"/>
              <w:pageBreakBefore w:val="0"/>
              <w:kinsoku/>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汞，mg/kg ≤</w:t>
            </w:r>
          </w:p>
        </w:tc>
        <w:tc>
          <w:tcPr>
            <w:tcW w:w="1940" w:type="dxa"/>
            <w:tcBorders>
              <w:top w:val="outset" w:color="000000" w:sz="6" w:space="0"/>
              <w:left w:val="outset" w:color="000000" w:sz="6" w:space="0"/>
              <w:bottom w:val="outset" w:color="000000" w:sz="6" w:space="0"/>
              <w:right w:val="outset" w:color="000000" w:sz="6" w:space="0"/>
            </w:tcBorders>
            <w:vAlign w:val="center"/>
          </w:tcPr>
          <w:p w14:paraId="4293593A">
            <w:pPr>
              <w:keepNext w:val="0"/>
              <w:keepLines w:val="0"/>
              <w:pageBreakBefore w:val="0"/>
              <w:kinsoku/>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0.02</w:t>
            </w:r>
          </w:p>
        </w:tc>
      </w:tr>
      <w:tr w14:paraId="205DA157">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jc w:val="center"/>
        </w:trPr>
        <w:tc>
          <w:tcPr>
            <w:tcW w:w="2894" w:type="dxa"/>
            <w:tcBorders>
              <w:top w:val="outset" w:color="000000" w:sz="6" w:space="0"/>
              <w:left w:val="outset" w:color="000000" w:sz="6" w:space="0"/>
              <w:bottom w:val="outset" w:color="000000" w:sz="6" w:space="0"/>
              <w:right w:val="outset" w:color="000000" w:sz="6" w:space="0"/>
            </w:tcBorders>
            <w:vAlign w:val="center"/>
          </w:tcPr>
          <w:p w14:paraId="50BDBC82">
            <w:pPr>
              <w:keepNext w:val="0"/>
              <w:keepLines w:val="0"/>
              <w:pageBreakBefore w:val="0"/>
              <w:kinsoku/>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六六六，mg/kg ≤</w:t>
            </w:r>
          </w:p>
        </w:tc>
        <w:tc>
          <w:tcPr>
            <w:tcW w:w="1940" w:type="dxa"/>
            <w:tcBorders>
              <w:top w:val="outset" w:color="000000" w:sz="6" w:space="0"/>
              <w:left w:val="outset" w:color="000000" w:sz="6" w:space="0"/>
              <w:bottom w:val="outset" w:color="000000" w:sz="6" w:space="0"/>
              <w:right w:val="outset" w:color="000000" w:sz="6" w:space="0"/>
            </w:tcBorders>
            <w:vAlign w:val="center"/>
          </w:tcPr>
          <w:p w14:paraId="37BACD89">
            <w:pPr>
              <w:keepNext w:val="0"/>
              <w:keepLines w:val="0"/>
              <w:pageBreakBefore w:val="0"/>
              <w:kinsoku/>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0.3</w:t>
            </w:r>
          </w:p>
        </w:tc>
      </w:tr>
      <w:tr w14:paraId="1F42A2E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jc w:val="center"/>
        </w:trPr>
        <w:tc>
          <w:tcPr>
            <w:tcW w:w="2894" w:type="dxa"/>
            <w:tcBorders>
              <w:top w:val="outset" w:color="000000" w:sz="6" w:space="0"/>
              <w:left w:val="outset" w:color="000000" w:sz="6" w:space="0"/>
              <w:bottom w:val="outset" w:color="000000" w:sz="6" w:space="0"/>
              <w:right w:val="outset" w:color="000000" w:sz="6" w:space="0"/>
            </w:tcBorders>
            <w:vAlign w:val="center"/>
          </w:tcPr>
          <w:p w14:paraId="4DF790C3">
            <w:pPr>
              <w:keepNext w:val="0"/>
              <w:keepLines w:val="0"/>
              <w:pageBreakBefore w:val="0"/>
              <w:kinsoku/>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滴滴涕，mg/kg ≤</w:t>
            </w:r>
          </w:p>
        </w:tc>
        <w:tc>
          <w:tcPr>
            <w:tcW w:w="1940" w:type="dxa"/>
            <w:tcBorders>
              <w:top w:val="outset" w:color="000000" w:sz="6" w:space="0"/>
              <w:left w:val="outset" w:color="000000" w:sz="6" w:space="0"/>
              <w:bottom w:val="outset" w:color="000000" w:sz="6" w:space="0"/>
              <w:right w:val="outset" w:color="000000" w:sz="6" w:space="0"/>
            </w:tcBorders>
            <w:vAlign w:val="center"/>
          </w:tcPr>
          <w:p w14:paraId="3B5A33D0">
            <w:pPr>
              <w:keepNext w:val="0"/>
              <w:keepLines w:val="0"/>
              <w:pageBreakBefore w:val="0"/>
              <w:kinsoku/>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0.2</w:t>
            </w:r>
          </w:p>
        </w:tc>
      </w:tr>
      <w:tr w14:paraId="600D8440">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jc w:val="center"/>
        </w:trPr>
        <w:tc>
          <w:tcPr>
            <w:tcW w:w="2894" w:type="dxa"/>
            <w:tcBorders>
              <w:top w:val="outset" w:color="000000" w:sz="6" w:space="0"/>
              <w:left w:val="outset" w:color="000000" w:sz="6" w:space="0"/>
              <w:bottom w:val="outset" w:color="000000" w:sz="6" w:space="0"/>
              <w:right w:val="outset" w:color="000000" w:sz="6" w:space="0"/>
            </w:tcBorders>
            <w:vAlign w:val="center"/>
          </w:tcPr>
          <w:p w14:paraId="29D95FC1">
            <w:pPr>
              <w:keepNext w:val="0"/>
              <w:keepLines w:val="0"/>
              <w:pageBreakBefore w:val="0"/>
              <w:kinsoku/>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黄曲霉毒素B1，μg/kg ≤</w:t>
            </w:r>
          </w:p>
        </w:tc>
        <w:tc>
          <w:tcPr>
            <w:tcW w:w="1940" w:type="dxa"/>
            <w:tcBorders>
              <w:top w:val="outset" w:color="000000" w:sz="6" w:space="0"/>
              <w:left w:val="outset" w:color="000000" w:sz="6" w:space="0"/>
              <w:bottom w:val="outset" w:color="000000" w:sz="6" w:space="0"/>
              <w:right w:val="outset" w:color="000000" w:sz="6" w:space="0"/>
            </w:tcBorders>
            <w:vAlign w:val="center"/>
          </w:tcPr>
          <w:p w14:paraId="1804F1A9">
            <w:pPr>
              <w:keepNext w:val="0"/>
              <w:keepLines w:val="0"/>
              <w:pageBreakBefore w:val="0"/>
              <w:kinsoku/>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20.0</w:t>
            </w:r>
          </w:p>
        </w:tc>
      </w:tr>
    </w:tbl>
    <w:p w14:paraId="2ABEE732">
      <w:pPr>
        <w:keepNext w:val="0"/>
        <w:keepLines w:val="0"/>
        <w:pageBreakBefore w:val="0"/>
        <w:kinsoku/>
        <w:overflowPunct/>
        <w:topLinePunct w:val="0"/>
        <w:autoSpaceDE/>
        <w:autoSpaceDN/>
        <w:bidi w:val="0"/>
        <w:adjustRightInd/>
        <w:snapToGrid/>
        <w:spacing w:line="360" w:lineRule="auto"/>
        <w:ind w:firstLine="403" w:firstLineChars="192"/>
        <w:jc w:val="center"/>
        <w:textAlignment w:val="auto"/>
        <w:rPr>
          <w:rFonts w:hint="eastAsia" w:ascii="宋体" w:hAnsi="宋体" w:eastAsia="宋体" w:cs="宋体"/>
          <w:color w:val="000000"/>
          <w:sz w:val="21"/>
          <w:szCs w:val="21"/>
          <w:lang w:eastAsia="zh-CN"/>
        </w:rPr>
      </w:pPr>
    </w:p>
    <w:p w14:paraId="16BA864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表</w:t>
      </w:r>
      <w:r>
        <w:rPr>
          <w:rFonts w:hint="eastAsia" w:ascii="宋体" w:hAnsi="宋体" w:eastAsia="宋体" w:cs="宋体"/>
          <w:color w:val="000000"/>
          <w:kern w:val="0"/>
          <w:sz w:val="21"/>
          <w:szCs w:val="21"/>
          <w:lang w:val="en-US" w:eastAsia="zh-CN"/>
        </w:rPr>
        <w:t>4</w:t>
      </w:r>
      <w:r>
        <w:rPr>
          <w:rFonts w:hint="eastAsia" w:ascii="宋体" w:hAnsi="宋体" w:eastAsia="宋体" w:cs="宋体"/>
          <w:color w:val="000000"/>
          <w:kern w:val="0"/>
          <w:sz w:val="21"/>
          <w:szCs w:val="21"/>
          <w:lang w:eastAsia="zh-CN"/>
        </w:rPr>
        <w:t xml:space="preserve"> 微生物指标</w:t>
      </w:r>
    </w:p>
    <w:tbl>
      <w:tblPr>
        <w:tblStyle w:val="4"/>
        <w:tblW w:w="5355" w:type="dxa"/>
        <w:jc w:val="center"/>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fixed"/>
        <w:tblCellMar>
          <w:top w:w="0" w:type="dxa"/>
          <w:left w:w="0" w:type="dxa"/>
          <w:bottom w:w="0" w:type="dxa"/>
          <w:right w:w="0" w:type="dxa"/>
        </w:tblCellMar>
      </w:tblPr>
      <w:tblGrid>
        <w:gridCol w:w="3435"/>
        <w:gridCol w:w="1920"/>
      </w:tblGrid>
      <w:tr w14:paraId="04D06772">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jc w:val="center"/>
        </w:trPr>
        <w:tc>
          <w:tcPr>
            <w:tcW w:w="3435" w:type="dxa"/>
            <w:tcBorders>
              <w:top w:val="outset" w:color="000000" w:sz="6" w:space="0"/>
              <w:left w:val="outset" w:color="000000" w:sz="6" w:space="0"/>
              <w:bottom w:val="outset" w:color="000000" w:sz="6" w:space="0"/>
              <w:right w:val="outset" w:color="000000" w:sz="6" w:space="0"/>
            </w:tcBorders>
            <w:vAlign w:val="center"/>
          </w:tcPr>
          <w:p w14:paraId="1A262C88">
            <w:pPr>
              <w:keepNext w:val="0"/>
              <w:keepLines w:val="0"/>
              <w:pageBreakBefore w:val="0"/>
              <w:kinsoku/>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项 目</w:t>
            </w:r>
          </w:p>
        </w:tc>
        <w:tc>
          <w:tcPr>
            <w:tcW w:w="1920" w:type="dxa"/>
            <w:tcBorders>
              <w:top w:val="outset" w:color="000000" w:sz="6" w:space="0"/>
              <w:left w:val="outset" w:color="000000" w:sz="6" w:space="0"/>
              <w:bottom w:val="outset" w:color="000000" w:sz="6" w:space="0"/>
              <w:right w:val="outset" w:color="000000" w:sz="6" w:space="0"/>
            </w:tcBorders>
            <w:vAlign w:val="center"/>
          </w:tcPr>
          <w:p w14:paraId="110B6043">
            <w:pPr>
              <w:keepNext w:val="0"/>
              <w:keepLines w:val="0"/>
              <w:pageBreakBefore w:val="0"/>
              <w:kinsoku/>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指标</w:t>
            </w:r>
          </w:p>
        </w:tc>
      </w:tr>
      <w:tr w14:paraId="051D47E9">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jc w:val="center"/>
        </w:trPr>
        <w:tc>
          <w:tcPr>
            <w:tcW w:w="3435" w:type="dxa"/>
            <w:tcBorders>
              <w:top w:val="outset" w:color="000000" w:sz="6" w:space="0"/>
              <w:left w:val="outset" w:color="000000" w:sz="6" w:space="0"/>
              <w:bottom w:val="outset" w:color="000000" w:sz="6" w:space="0"/>
              <w:right w:val="outset" w:color="000000" w:sz="6" w:space="0"/>
            </w:tcBorders>
            <w:vAlign w:val="center"/>
          </w:tcPr>
          <w:p w14:paraId="4FBB1BB6">
            <w:pPr>
              <w:keepNext w:val="0"/>
              <w:keepLines w:val="0"/>
              <w:pageBreakBefore w:val="0"/>
              <w:kinsoku/>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菌落总数，cfu/g ≤</w:t>
            </w:r>
          </w:p>
        </w:tc>
        <w:tc>
          <w:tcPr>
            <w:tcW w:w="1920" w:type="dxa"/>
            <w:tcBorders>
              <w:top w:val="outset" w:color="000000" w:sz="6" w:space="0"/>
              <w:left w:val="outset" w:color="000000" w:sz="6" w:space="0"/>
              <w:bottom w:val="outset" w:color="000000" w:sz="6" w:space="0"/>
              <w:right w:val="outset" w:color="000000" w:sz="6" w:space="0"/>
            </w:tcBorders>
            <w:vAlign w:val="center"/>
          </w:tcPr>
          <w:p w14:paraId="00C769D9">
            <w:pPr>
              <w:keepNext w:val="0"/>
              <w:keepLines w:val="0"/>
              <w:pageBreakBefore w:val="0"/>
              <w:kinsoku/>
              <w:overflowPunct/>
              <w:topLinePunct w:val="0"/>
              <w:autoSpaceDE/>
              <w:autoSpaceDN/>
              <w:bidi w:val="0"/>
              <w:adjustRightInd/>
              <w:snapToGrid/>
              <w:spacing w:line="360" w:lineRule="auto"/>
              <w:ind w:left="0" w:leftChars="0" w:firstLine="0" w:firstLineChars="0"/>
              <w:jc w:val="center"/>
              <w:textAlignment w:val="auto"/>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lang w:eastAsia="zh-CN"/>
              </w:rPr>
              <w:t>5×10</w:t>
            </w:r>
            <w:r>
              <w:rPr>
                <w:rFonts w:hint="eastAsia" w:ascii="宋体" w:hAnsi="宋体" w:eastAsia="宋体" w:cs="宋体"/>
                <w:color w:val="000000"/>
                <w:sz w:val="21"/>
                <w:szCs w:val="21"/>
                <w:vertAlign w:val="superscript"/>
                <w:lang w:val="en-US" w:eastAsia="zh-CN"/>
              </w:rPr>
              <w:t>4</w:t>
            </w:r>
          </w:p>
        </w:tc>
      </w:tr>
      <w:tr w14:paraId="3C3781E1">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jc w:val="center"/>
        </w:trPr>
        <w:tc>
          <w:tcPr>
            <w:tcW w:w="3435" w:type="dxa"/>
            <w:tcBorders>
              <w:top w:val="outset" w:color="000000" w:sz="6" w:space="0"/>
              <w:left w:val="outset" w:color="000000" w:sz="6" w:space="0"/>
              <w:bottom w:val="outset" w:color="000000" w:sz="6" w:space="0"/>
              <w:right w:val="outset" w:color="000000" w:sz="6" w:space="0"/>
            </w:tcBorders>
            <w:vAlign w:val="center"/>
          </w:tcPr>
          <w:p w14:paraId="50CED94D">
            <w:pPr>
              <w:keepNext w:val="0"/>
              <w:keepLines w:val="0"/>
              <w:pageBreakBefore w:val="0"/>
              <w:kinsoku/>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大肠菌数，MPN/100g ≤</w:t>
            </w:r>
          </w:p>
        </w:tc>
        <w:tc>
          <w:tcPr>
            <w:tcW w:w="1920" w:type="dxa"/>
            <w:tcBorders>
              <w:top w:val="outset" w:color="000000" w:sz="6" w:space="0"/>
              <w:left w:val="outset" w:color="000000" w:sz="6" w:space="0"/>
              <w:bottom w:val="outset" w:color="000000" w:sz="6" w:space="0"/>
              <w:right w:val="outset" w:color="000000" w:sz="6" w:space="0"/>
            </w:tcBorders>
            <w:vAlign w:val="center"/>
          </w:tcPr>
          <w:p w14:paraId="655E363C">
            <w:pPr>
              <w:keepNext w:val="0"/>
              <w:keepLines w:val="0"/>
              <w:pageBreakBefore w:val="0"/>
              <w:kinsoku/>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30</w:t>
            </w:r>
          </w:p>
        </w:tc>
      </w:tr>
      <w:tr w14:paraId="4E748EE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jc w:val="center"/>
        </w:trPr>
        <w:tc>
          <w:tcPr>
            <w:tcW w:w="3435" w:type="dxa"/>
            <w:tcBorders>
              <w:top w:val="outset" w:color="000000" w:sz="6" w:space="0"/>
              <w:left w:val="outset" w:color="000000" w:sz="6" w:space="0"/>
              <w:bottom w:val="outset" w:color="000000" w:sz="6" w:space="0"/>
              <w:right w:val="outset" w:color="000000" w:sz="6" w:space="0"/>
            </w:tcBorders>
            <w:vAlign w:val="center"/>
          </w:tcPr>
          <w:p w14:paraId="57AF74F5">
            <w:pPr>
              <w:keepNext w:val="0"/>
              <w:keepLines w:val="0"/>
              <w:pageBreakBefore w:val="0"/>
              <w:kinsoku/>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霉菌和酵母数，cfu/g ≤</w:t>
            </w:r>
          </w:p>
        </w:tc>
        <w:tc>
          <w:tcPr>
            <w:tcW w:w="1920" w:type="dxa"/>
            <w:tcBorders>
              <w:top w:val="outset" w:color="000000" w:sz="6" w:space="0"/>
              <w:left w:val="outset" w:color="000000" w:sz="6" w:space="0"/>
              <w:bottom w:val="outset" w:color="000000" w:sz="6" w:space="0"/>
              <w:right w:val="outset" w:color="000000" w:sz="6" w:space="0"/>
            </w:tcBorders>
            <w:vAlign w:val="center"/>
          </w:tcPr>
          <w:p w14:paraId="29104E80">
            <w:pPr>
              <w:keepNext w:val="0"/>
              <w:keepLines w:val="0"/>
              <w:pageBreakBefore w:val="0"/>
              <w:kinsoku/>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100</w:t>
            </w:r>
          </w:p>
        </w:tc>
      </w:tr>
      <w:tr w14:paraId="70571BC4">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trHeight w:val="318" w:hRule="atLeast"/>
          <w:jc w:val="center"/>
        </w:trPr>
        <w:tc>
          <w:tcPr>
            <w:tcW w:w="3435" w:type="dxa"/>
            <w:tcBorders>
              <w:top w:val="outset" w:color="000000" w:sz="6" w:space="0"/>
              <w:left w:val="outset" w:color="000000" w:sz="6" w:space="0"/>
              <w:bottom w:val="outset" w:color="000000" w:sz="6" w:space="0"/>
              <w:right w:val="outset" w:color="000000" w:sz="6" w:space="0"/>
            </w:tcBorders>
            <w:vAlign w:val="center"/>
          </w:tcPr>
          <w:p w14:paraId="7EC266FA">
            <w:pPr>
              <w:keepNext w:val="0"/>
              <w:keepLines w:val="0"/>
              <w:pageBreakBefore w:val="0"/>
              <w:kinsoku/>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致病菌（沙门氏菌）</w:t>
            </w:r>
          </w:p>
        </w:tc>
        <w:tc>
          <w:tcPr>
            <w:tcW w:w="1920" w:type="dxa"/>
            <w:tcBorders>
              <w:top w:val="outset" w:color="000000" w:sz="6" w:space="0"/>
              <w:left w:val="outset" w:color="000000" w:sz="6" w:space="0"/>
              <w:bottom w:val="outset" w:color="000000" w:sz="6" w:space="0"/>
              <w:right w:val="outset" w:color="000000" w:sz="6" w:space="0"/>
            </w:tcBorders>
            <w:vAlign w:val="center"/>
          </w:tcPr>
          <w:p w14:paraId="2F743005">
            <w:pPr>
              <w:keepNext w:val="0"/>
              <w:keepLines w:val="0"/>
              <w:pageBreakBefore w:val="0"/>
              <w:kinsoku/>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不得检出</w:t>
            </w:r>
          </w:p>
        </w:tc>
      </w:tr>
    </w:tbl>
    <w:p w14:paraId="027806B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1"/>
          <w:szCs w:val="21"/>
          <w:lang w:eastAsia="zh-CN"/>
        </w:rPr>
      </w:pPr>
    </w:p>
    <w:p w14:paraId="64CEB3C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5</w:t>
      </w:r>
      <w:r>
        <w:rPr>
          <w:rFonts w:hint="eastAsia" w:ascii="宋体" w:hAnsi="宋体" w:eastAsia="宋体" w:cs="宋体"/>
          <w:color w:val="000000"/>
          <w:kern w:val="0"/>
          <w:sz w:val="21"/>
          <w:szCs w:val="21"/>
          <w:lang w:eastAsia="zh-CN"/>
        </w:rPr>
        <w:t>）感官标准：均匀，新鲜、无杂质、无异味、无霉变、无发酵、无虫蛀及鼠咬。</w:t>
      </w:r>
    </w:p>
    <w:p w14:paraId="63ED66B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6</w:t>
      </w:r>
      <w:r>
        <w:rPr>
          <w:rFonts w:hint="eastAsia" w:ascii="宋体" w:hAnsi="宋体" w:eastAsia="宋体" w:cs="宋体"/>
          <w:color w:val="000000"/>
          <w:kern w:val="0"/>
          <w:sz w:val="21"/>
          <w:szCs w:val="21"/>
          <w:lang w:eastAsia="zh-CN"/>
        </w:rPr>
        <w:t>）不含重金属及芳香类、挥发性物质的原料，无变质、无腐朽、无霉变、无虫蛀。</w:t>
      </w:r>
    </w:p>
    <w:p w14:paraId="67BE6A4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7</w:t>
      </w:r>
      <w:r>
        <w:rPr>
          <w:rFonts w:hint="eastAsia" w:ascii="宋体" w:hAnsi="宋体" w:eastAsia="宋体" w:cs="宋体"/>
          <w:color w:val="000000"/>
          <w:kern w:val="0"/>
          <w:sz w:val="21"/>
          <w:szCs w:val="21"/>
          <w:lang w:eastAsia="zh-CN"/>
        </w:rPr>
        <w:t>）包装：采用清洁的材料包装，包装必须密封，坚固，防水防潮；里包装为PE单层。每包装单位重量或体积一致。</w:t>
      </w:r>
      <w:r>
        <w:rPr>
          <w:rFonts w:hint="eastAsia" w:ascii="宋体" w:hAnsi="宋体" w:eastAsia="宋体" w:cs="宋体"/>
          <w:b/>
          <w:bCs/>
          <w:color w:val="000000"/>
          <w:kern w:val="0"/>
          <w:sz w:val="21"/>
          <w:szCs w:val="21"/>
          <w:lang w:val="en-US" w:eastAsia="zh-CN"/>
        </w:rPr>
        <w:t>提供产品包装照片。</w:t>
      </w:r>
    </w:p>
    <w:p w14:paraId="3C2A9CE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8</w:t>
      </w:r>
      <w:r>
        <w:rPr>
          <w:rFonts w:hint="eastAsia" w:ascii="宋体" w:hAnsi="宋体" w:eastAsia="宋体" w:cs="宋体"/>
          <w:color w:val="000000"/>
          <w:kern w:val="0"/>
          <w:sz w:val="21"/>
          <w:szCs w:val="21"/>
          <w:lang w:eastAsia="zh-CN"/>
        </w:rPr>
        <w:t>）运输：运输工具清洁、卫生，运输过程避免日晒雨淋，积压，不能和有毒有害的物品混装。</w:t>
      </w:r>
    </w:p>
    <w:p w14:paraId="591E56C8">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color w:val="000000"/>
          <w:kern w:val="0"/>
          <w:sz w:val="21"/>
          <w:szCs w:val="21"/>
          <w:lang w:val="en-US" w:eastAsia="zh-CN"/>
        </w:rPr>
      </w:pPr>
    </w:p>
    <w:p w14:paraId="03B2957E">
      <w:pPr>
        <w:keepNext w:val="0"/>
        <w:keepLines w:val="0"/>
        <w:pageBreakBefore w:val="0"/>
        <w:widowControl/>
        <w:kinsoku/>
        <w:wordWrap w:val="0"/>
        <w:overflowPunct/>
        <w:topLinePunct w:val="0"/>
        <w:autoSpaceDE/>
        <w:autoSpaceDN/>
        <w:bidi w:val="0"/>
        <w:adjustRightInd/>
        <w:snapToGrid/>
        <w:spacing w:line="360" w:lineRule="auto"/>
        <w:jc w:val="left"/>
        <w:rPr>
          <w:rFonts w:hint="eastAsia" w:ascii="宋体" w:hAnsi="宋体" w:eastAsia="宋体" w:cs="宋体"/>
          <w:b/>
          <w:bCs/>
          <w:color w:val="000000"/>
          <w:kern w:val="0"/>
          <w:sz w:val="21"/>
          <w:szCs w:val="21"/>
          <w:lang w:val="en-US" w:eastAsia="zh-CN"/>
        </w:rPr>
      </w:pPr>
      <w:r>
        <w:rPr>
          <w:rFonts w:hint="eastAsia" w:ascii="宋体" w:hAnsi="宋体" w:eastAsia="宋体" w:cs="宋体"/>
          <w:b/>
          <w:bCs/>
          <w:color w:val="000000"/>
          <w:kern w:val="0"/>
          <w:sz w:val="21"/>
          <w:szCs w:val="21"/>
          <w:lang w:val="en-US" w:eastAsia="zh-CN"/>
        </w:rPr>
        <w:t>二、商务要求</w:t>
      </w:r>
    </w:p>
    <w:p w14:paraId="3AF4F19F">
      <w:pPr>
        <w:keepNext w:val="0"/>
        <w:keepLines w:val="0"/>
        <w:pageBreakBefore w:val="0"/>
        <w:kinsoku/>
        <w:overflowPunct/>
        <w:topLinePunct w:val="0"/>
        <w:autoSpaceDE/>
        <w:autoSpaceDN/>
        <w:bidi w:val="0"/>
        <w:adjustRightInd/>
        <w:snapToGrid/>
        <w:spacing w:line="360" w:lineRule="auto"/>
        <w:rPr>
          <w:rFonts w:hint="eastAsia" w:ascii="宋体" w:hAnsi="宋体" w:eastAsia="宋体" w:cs="宋体"/>
          <w:sz w:val="21"/>
          <w:szCs w:val="21"/>
          <w:lang w:val="en-US" w:eastAsia="zh-CN"/>
        </w:rPr>
      </w:pPr>
      <w:r>
        <w:rPr>
          <w:rFonts w:hint="eastAsia" w:ascii="宋体" w:hAnsi="宋体" w:eastAsia="宋体" w:cs="宋体"/>
          <w:b w:val="0"/>
          <w:bCs w:val="0"/>
          <w:sz w:val="21"/>
          <w:szCs w:val="21"/>
          <w:lang w:val="en-US" w:eastAsia="zh-CN"/>
        </w:rPr>
        <w:t>1.</w:t>
      </w:r>
      <w:r>
        <w:rPr>
          <w:rFonts w:hint="eastAsia" w:ascii="宋体" w:hAnsi="宋体" w:eastAsia="宋体" w:cs="宋体"/>
          <w:b/>
          <w:bCs/>
          <w:sz w:val="21"/>
          <w:szCs w:val="21"/>
        </w:rPr>
        <w:t>综合实力</w:t>
      </w:r>
      <w:r>
        <w:rPr>
          <w:rFonts w:hint="eastAsia" w:ascii="宋体" w:hAnsi="宋体" w:eastAsia="宋体" w:cs="宋体"/>
          <w:b/>
          <w:bCs/>
          <w:sz w:val="21"/>
          <w:szCs w:val="21"/>
          <w:lang w:eastAsia="zh-CN"/>
        </w:rPr>
        <w:t>（</w:t>
      </w:r>
      <w:r>
        <w:rPr>
          <w:rFonts w:hint="eastAsia" w:ascii="宋体" w:hAnsi="宋体" w:eastAsia="宋体" w:cs="宋体"/>
          <w:b/>
          <w:bCs/>
          <w:sz w:val="21"/>
          <w:szCs w:val="21"/>
          <w:lang w:val="en-US" w:eastAsia="zh-CN"/>
        </w:rPr>
        <w:t>如有）</w:t>
      </w:r>
      <w:r>
        <w:rPr>
          <w:rFonts w:hint="eastAsia" w:ascii="宋体" w:hAnsi="宋体" w:eastAsia="宋体" w:cs="宋体"/>
          <w:b/>
          <w:bCs/>
          <w:sz w:val="21"/>
          <w:szCs w:val="21"/>
          <w:lang w:eastAsia="zh-CN"/>
        </w:rPr>
        <w:t>：</w:t>
      </w:r>
      <w:r>
        <w:rPr>
          <w:rFonts w:hint="eastAsia" w:ascii="宋体" w:hAnsi="宋体" w:eastAsia="宋体" w:cs="宋体"/>
          <w:b/>
          <w:bCs/>
          <w:strike w:val="0"/>
          <w:dstrike w:val="0"/>
          <w:sz w:val="21"/>
          <w:szCs w:val="21"/>
          <w:highlight w:val="none"/>
        </w:rPr>
        <w:t>具有有效的ISO9001质量管理体系</w:t>
      </w:r>
      <w:r>
        <w:rPr>
          <w:rFonts w:hint="eastAsia" w:ascii="宋体" w:hAnsi="宋体" w:eastAsia="宋体" w:cs="宋体"/>
          <w:b/>
          <w:bCs/>
          <w:strike w:val="0"/>
          <w:dstrike w:val="0"/>
          <w:sz w:val="21"/>
          <w:szCs w:val="21"/>
          <w:highlight w:val="none"/>
          <w:lang w:eastAsia="zh-CN"/>
        </w:rPr>
        <w:t>、</w:t>
      </w:r>
      <w:r>
        <w:rPr>
          <w:rFonts w:hint="eastAsia" w:ascii="宋体" w:hAnsi="宋体" w:eastAsia="宋体" w:cs="宋体"/>
          <w:b/>
          <w:bCs/>
          <w:strike w:val="0"/>
          <w:dstrike w:val="0"/>
          <w:sz w:val="21"/>
          <w:szCs w:val="21"/>
          <w:highlight w:val="none"/>
        </w:rPr>
        <w:t>ISO22000食品安全管理体系</w:t>
      </w:r>
      <w:r>
        <w:rPr>
          <w:rFonts w:hint="eastAsia" w:ascii="宋体" w:hAnsi="宋体" w:eastAsia="宋体" w:cs="宋体"/>
          <w:b/>
          <w:bCs/>
          <w:strike w:val="0"/>
          <w:dstrike w:val="0"/>
          <w:sz w:val="21"/>
          <w:szCs w:val="21"/>
          <w:highlight w:val="none"/>
          <w:lang w:eastAsia="zh-CN"/>
        </w:rPr>
        <w:t>、</w:t>
      </w:r>
      <w:r>
        <w:rPr>
          <w:rFonts w:hint="eastAsia" w:ascii="宋体" w:hAnsi="宋体" w:eastAsia="宋体" w:cs="宋体"/>
          <w:b/>
          <w:bCs/>
          <w:strike w:val="0"/>
          <w:dstrike w:val="0"/>
          <w:sz w:val="21"/>
          <w:szCs w:val="21"/>
          <w:highlight w:val="none"/>
        </w:rPr>
        <w:t>ISO14001环境管理体系证书</w:t>
      </w:r>
      <w:r>
        <w:rPr>
          <w:rFonts w:hint="eastAsia" w:ascii="宋体" w:hAnsi="宋体" w:eastAsia="宋体" w:cs="宋体"/>
          <w:b/>
          <w:bCs/>
          <w:strike w:val="0"/>
          <w:dstrike w:val="0"/>
          <w:sz w:val="21"/>
          <w:szCs w:val="21"/>
          <w:highlight w:val="none"/>
          <w:lang w:eastAsia="zh-CN"/>
        </w:rPr>
        <w:t>、</w:t>
      </w:r>
      <w:r>
        <w:rPr>
          <w:rFonts w:hint="eastAsia" w:ascii="宋体" w:hAnsi="宋体" w:eastAsia="宋体" w:cs="宋体"/>
          <w:b/>
          <w:bCs/>
          <w:strike w:val="0"/>
          <w:dstrike w:val="0"/>
          <w:sz w:val="21"/>
          <w:szCs w:val="21"/>
          <w:highlight w:val="none"/>
        </w:rPr>
        <w:t>ISO45001职业健康安全管理体系认证。</w:t>
      </w:r>
    </w:p>
    <w:p w14:paraId="0FE27CD2">
      <w:pPr>
        <w:keepNext w:val="0"/>
        <w:keepLines w:val="0"/>
        <w:pageBreakBefore w:val="0"/>
        <w:kinsoku/>
        <w:overflowPunct/>
        <w:topLinePunct w:val="0"/>
        <w:autoSpaceDE/>
        <w:autoSpaceDN/>
        <w:bidi w:val="0"/>
        <w:adjustRightInd/>
        <w:snapToGrid/>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r>
        <w:rPr>
          <w:rFonts w:hint="eastAsia" w:ascii="宋体" w:hAnsi="宋体" w:eastAsia="宋体" w:cs="宋体"/>
          <w:b/>
          <w:bCs/>
          <w:sz w:val="21"/>
          <w:szCs w:val="21"/>
          <w:lang w:val="en-US" w:eastAsia="zh-CN"/>
        </w:rPr>
        <w:t>提供供货业绩：</w:t>
      </w:r>
      <w:r>
        <w:rPr>
          <w:rFonts w:hint="eastAsia" w:ascii="宋体" w:hAnsi="宋体" w:eastAsia="宋体" w:cs="宋体"/>
          <w:sz w:val="21"/>
          <w:szCs w:val="21"/>
          <w:lang w:val="en-US" w:eastAsia="zh-CN"/>
        </w:rPr>
        <w:t>应同时满足以下条件：（1）供应商与产品使用单位签订；（2）标的包含本项目</w:t>
      </w:r>
      <w:r>
        <w:rPr>
          <w:rFonts w:hint="eastAsia" w:ascii="宋体" w:hAnsi="宋体" w:eastAsia="宋体" w:cs="宋体"/>
          <w:sz w:val="21"/>
          <w:szCs w:val="21"/>
          <w:highlight w:val="none"/>
          <w:lang w:val="en-US" w:eastAsia="zh-CN"/>
        </w:rPr>
        <w:t>所投产品</w:t>
      </w:r>
      <w:r>
        <w:rPr>
          <w:rFonts w:hint="eastAsia" w:ascii="宋体" w:hAnsi="宋体" w:eastAsia="宋体" w:cs="宋体"/>
          <w:sz w:val="21"/>
          <w:szCs w:val="21"/>
          <w:lang w:val="en-US" w:eastAsia="zh-CN"/>
        </w:rPr>
        <w:t>；（3）业绩有效期限:2021年起。提供合同复印件或送货单</w:t>
      </w:r>
      <w:bookmarkStart w:id="0" w:name="_GoBack"/>
      <w:bookmarkEnd w:id="0"/>
      <w:r>
        <w:rPr>
          <w:rFonts w:hint="eastAsia" w:ascii="宋体" w:hAnsi="宋体" w:eastAsia="宋体" w:cs="宋体"/>
          <w:sz w:val="21"/>
          <w:szCs w:val="21"/>
          <w:lang w:val="en-US" w:eastAsia="zh-CN"/>
        </w:rPr>
        <w:t>，以签订合同时间或送货时间为准，与同一产品使用单位签订的合同或送货单视作一项业绩。</w:t>
      </w:r>
    </w:p>
    <w:p w14:paraId="636F34B7">
      <w:pPr>
        <w:keepNext w:val="0"/>
        <w:keepLines w:val="0"/>
        <w:pageBreakBefore w:val="0"/>
        <w:kinsoku/>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r>
        <w:rPr>
          <w:rFonts w:hint="eastAsia" w:ascii="宋体" w:hAnsi="宋体" w:eastAsia="宋体" w:cs="宋体"/>
          <w:b/>
          <w:bCs/>
          <w:sz w:val="21"/>
          <w:szCs w:val="21"/>
          <w:lang w:val="en-US" w:eastAsia="zh-CN"/>
        </w:rPr>
        <w:t>提供</w:t>
      </w:r>
      <w:r>
        <w:rPr>
          <w:rFonts w:hint="eastAsia" w:ascii="宋体" w:hAnsi="宋体" w:eastAsia="宋体" w:cs="宋体"/>
          <w:b/>
          <w:bCs/>
          <w:sz w:val="21"/>
          <w:szCs w:val="21"/>
        </w:rPr>
        <w:t>质保期</w:t>
      </w:r>
      <w:r>
        <w:rPr>
          <w:rFonts w:hint="eastAsia" w:ascii="宋体" w:hAnsi="宋体" w:eastAsia="宋体" w:cs="宋体"/>
          <w:b/>
          <w:bCs/>
          <w:sz w:val="21"/>
          <w:szCs w:val="21"/>
          <w:lang w:val="en-US" w:eastAsia="zh-CN"/>
        </w:rPr>
        <w:t>承诺函</w:t>
      </w:r>
      <w:r>
        <w:rPr>
          <w:rFonts w:hint="eastAsia" w:ascii="宋体" w:hAnsi="宋体" w:eastAsia="宋体" w:cs="宋体"/>
          <w:sz w:val="21"/>
          <w:szCs w:val="21"/>
        </w:rPr>
        <w:t>：所提供的</w:t>
      </w:r>
      <w:r>
        <w:rPr>
          <w:rFonts w:hint="eastAsia" w:ascii="宋体" w:hAnsi="宋体" w:eastAsia="宋体" w:cs="宋体"/>
          <w:sz w:val="21"/>
          <w:szCs w:val="21"/>
          <w:lang w:val="en-US" w:eastAsia="zh-CN"/>
        </w:rPr>
        <w:t>产品</w:t>
      </w:r>
      <w:r>
        <w:rPr>
          <w:rFonts w:hint="eastAsia" w:ascii="宋体" w:hAnsi="宋体" w:eastAsia="宋体" w:cs="宋体"/>
          <w:sz w:val="21"/>
          <w:szCs w:val="21"/>
        </w:rPr>
        <w:t>需在</w:t>
      </w:r>
      <w:r>
        <w:rPr>
          <w:rFonts w:hint="eastAsia" w:ascii="宋体" w:hAnsi="宋体" w:eastAsia="宋体" w:cs="宋体"/>
          <w:sz w:val="21"/>
          <w:szCs w:val="21"/>
          <w:lang w:val="en-US" w:eastAsia="zh-CN"/>
        </w:rPr>
        <w:t>保质期</w:t>
      </w:r>
      <w:r>
        <w:rPr>
          <w:rFonts w:hint="eastAsia" w:ascii="宋体" w:hAnsi="宋体" w:eastAsia="宋体" w:cs="宋体"/>
          <w:sz w:val="21"/>
          <w:szCs w:val="21"/>
        </w:rPr>
        <w:t>内，</w:t>
      </w:r>
      <w:r>
        <w:rPr>
          <w:rFonts w:hint="eastAsia" w:ascii="宋体" w:hAnsi="宋体" w:eastAsia="宋体" w:cs="宋体"/>
          <w:sz w:val="21"/>
          <w:szCs w:val="21"/>
          <w:lang w:val="en-US" w:eastAsia="zh-CN"/>
        </w:rPr>
        <w:t>到货时货物保质期</w:t>
      </w:r>
      <w:r>
        <w:rPr>
          <w:rFonts w:hint="eastAsia" w:ascii="宋体" w:hAnsi="宋体" w:eastAsia="宋体" w:cs="宋体"/>
          <w:sz w:val="21"/>
          <w:szCs w:val="21"/>
        </w:rPr>
        <w:t>不低于</w:t>
      </w:r>
      <w:r>
        <w:rPr>
          <w:rFonts w:hint="eastAsia" w:ascii="宋体" w:hAnsi="宋体" w:eastAsia="宋体" w:cs="宋体"/>
          <w:sz w:val="21"/>
          <w:szCs w:val="21"/>
          <w:lang w:val="en-US" w:eastAsia="zh-CN"/>
        </w:rPr>
        <w:t>6个月</w:t>
      </w:r>
      <w:r>
        <w:rPr>
          <w:rFonts w:hint="eastAsia" w:ascii="宋体" w:hAnsi="宋体" w:eastAsia="宋体" w:cs="宋体"/>
          <w:sz w:val="21"/>
          <w:szCs w:val="21"/>
          <w:lang w:eastAsia="zh-CN"/>
        </w:rPr>
        <w:t>。</w:t>
      </w:r>
    </w:p>
    <w:p w14:paraId="1CC044F8">
      <w:pPr>
        <w:keepNext w:val="0"/>
        <w:keepLines w:val="0"/>
        <w:pageBreakBefore w:val="0"/>
        <w:kinsoku/>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b/>
          <w:bCs/>
          <w:sz w:val="21"/>
          <w:szCs w:val="21"/>
          <w:lang w:val="en-US" w:eastAsia="zh-CN"/>
        </w:rPr>
        <w:t>提供送货承诺函</w:t>
      </w:r>
      <w:r>
        <w:rPr>
          <w:rFonts w:hint="eastAsia" w:ascii="宋体" w:hAnsi="宋体" w:eastAsia="宋体" w:cs="宋体"/>
          <w:sz w:val="21"/>
          <w:szCs w:val="21"/>
          <w:lang w:val="en-US" w:eastAsia="zh-CN"/>
        </w:rPr>
        <w:t>：</w:t>
      </w:r>
      <w:r>
        <w:rPr>
          <w:rFonts w:hint="eastAsia" w:ascii="宋体" w:hAnsi="宋体" w:eastAsia="宋体" w:cs="宋体"/>
          <w:sz w:val="21"/>
          <w:szCs w:val="21"/>
        </w:rPr>
        <w:t>按照</w:t>
      </w:r>
      <w:r>
        <w:rPr>
          <w:rFonts w:hint="eastAsia" w:ascii="宋体" w:hAnsi="宋体" w:eastAsia="宋体" w:cs="宋体"/>
          <w:sz w:val="21"/>
          <w:szCs w:val="21"/>
          <w:lang w:val="en-US" w:eastAsia="zh-CN"/>
        </w:rPr>
        <w:t>使用科室</w:t>
      </w:r>
      <w:r>
        <w:rPr>
          <w:rFonts w:hint="eastAsia" w:ascii="宋体" w:hAnsi="宋体" w:eastAsia="宋体" w:cs="宋体"/>
          <w:sz w:val="21"/>
          <w:szCs w:val="21"/>
        </w:rPr>
        <w:t>通知，</w:t>
      </w:r>
      <w:r>
        <w:rPr>
          <w:rFonts w:hint="eastAsia" w:ascii="宋体" w:hAnsi="宋体" w:eastAsia="宋体" w:cs="宋体"/>
          <w:sz w:val="21"/>
          <w:szCs w:val="21"/>
          <w:lang w:val="en-US" w:eastAsia="zh-CN"/>
        </w:rPr>
        <w:t>分批送货至指定地点，不得以单次送货数量较少拒绝；每次通知后</w:t>
      </w:r>
      <w:r>
        <w:rPr>
          <w:rFonts w:hint="eastAsia" w:ascii="宋体" w:hAnsi="宋体" w:eastAsia="宋体" w:cs="宋体"/>
          <w:sz w:val="21"/>
          <w:szCs w:val="21"/>
        </w:rPr>
        <w:t>不晚于3个工作日到货。</w:t>
      </w:r>
    </w:p>
    <w:p w14:paraId="1C84D6C8">
      <w:pPr>
        <w:keepNext w:val="0"/>
        <w:keepLines w:val="0"/>
        <w:pageBreakBefore w:val="0"/>
        <w:kinsoku/>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每月据实结算，凭供应商开具的正式税务发票（增值税普通发票）及双方确认无异议的送货单向乙方支付货款（付款时限为收齐税务发票及送货单后30个自然日内）。若乙方未按约及时向甲方提供相应金额的正式税务发票或遇甲方财务封账的，甲方有权顺延付款且不需承担任何违约责任。</w:t>
      </w:r>
    </w:p>
    <w:p w14:paraId="1A85A485">
      <w:pPr>
        <w:keepNext w:val="0"/>
        <w:keepLines w:val="0"/>
        <w:pageBreakBefore w:val="0"/>
        <w:kinsoku/>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6.</w:t>
      </w:r>
      <w:r>
        <w:rPr>
          <w:rFonts w:hint="eastAsia" w:ascii="宋体" w:hAnsi="宋体" w:eastAsia="宋体" w:cs="宋体"/>
          <w:b/>
          <w:bCs/>
          <w:sz w:val="21"/>
          <w:szCs w:val="21"/>
          <w:lang w:val="en-US" w:eastAsia="zh-CN"/>
        </w:rPr>
        <w:t>提供</w:t>
      </w:r>
      <w:r>
        <w:rPr>
          <w:rFonts w:hint="eastAsia" w:ascii="宋体" w:hAnsi="宋体" w:eastAsia="宋体" w:cs="宋体"/>
          <w:b/>
          <w:bCs/>
          <w:sz w:val="21"/>
          <w:szCs w:val="21"/>
        </w:rPr>
        <w:t>售后服务</w:t>
      </w:r>
      <w:r>
        <w:rPr>
          <w:rFonts w:hint="eastAsia" w:ascii="宋体" w:hAnsi="宋体" w:eastAsia="宋体" w:cs="宋体"/>
          <w:b/>
          <w:bCs/>
          <w:sz w:val="21"/>
          <w:szCs w:val="21"/>
          <w:lang w:val="en-US" w:eastAsia="zh-CN"/>
        </w:rPr>
        <w:t>承诺书</w:t>
      </w:r>
      <w:r>
        <w:rPr>
          <w:rFonts w:hint="eastAsia" w:ascii="宋体" w:hAnsi="宋体" w:eastAsia="宋体" w:cs="宋体"/>
          <w:sz w:val="21"/>
          <w:szCs w:val="21"/>
        </w:rPr>
        <w:t>：</w:t>
      </w:r>
      <w:r>
        <w:rPr>
          <w:rFonts w:hint="eastAsia" w:ascii="宋体" w:hAnsi="宋体" w:eastAsia="宋体" w:cs="宋体"/>
          <w:sz w:val="21"/>
          <w:szCs w:val="21"/>
          <w:lang w:val="en-US" w:eastAsia="zh-CN"/>
        </w:rPr>
        <w:t>在产品质保期内，</w:t>
      </w:r>
      <w:r>
        <w:rPr>
          <w:rFonts w:hint="eastAsia" w:ascii="宋体" w:hAnsi="宋体" w:eastAsia="宋体" w:cs="宋体"/>
          <w:sz w:val="21"/>
          <w:szCs w:val="21"/>
        </w:rPr>
        <w:t>能够提供与产品有关的服务支持。</w:t>
      </w:r>
      <w:r>
        <w:rPr>
          <w:rFonts w:hint="eastAsia" w:ascii="宋体" w:hAnsi="宋体" w:eastAsia="宋体" w:cs="宋体"/>
          <w:color w:val="000000"/>
          <w:kern w:val="0"/>
          <w:sz w:val="21"/>
          <w:szCs w:val="21"/>
          <w:highlight w:val="none"/>
          <w:lang w:eastAsia="zh-CN"/>
        </w:rPr>
        <w:t>到货后若</w:t>
      </w:r>
      <w:r>
        <w:rPr>
          <w:rFonts w:hint="eastAsia" w:ascii="宋体" w:hAnsi="宋体" w:eastAsia="宋体" w:cs="宋体"/>
          <w:color w:val="000000"/>
          <w:kern w:val="0"/>
          <w:sz w:val="21"/>
          <w:szCs w:val="21"/>
          <w:highlight w:val="none"/>
          <w:lang w:val="en-US" w:eastAsia="zh-CN"/>
        </w:rPr>
        <w:t>产品</w:t>
      </w:r>
      <w:r>
        <w:rPr>
          <w:rFonts w:hint="eastAsia" w:ascii="宋体" w:hAnsi="宋体" w:eastAsia="宋体" w:cs="宋体"/>
          <w:color w:val="000000"/>
          <w:kern w:val="0"/>
          <w:sz w:val="21"/>
          <w:szCs w:val="21"/>
          <w:highlight w:val="none"/>
          <w:lang w:eastAsia="zh-CN"/>
        </w:rPr>
        <w:t>本身出现质量问题，全批次应无条件免费上门换货，换货周期不超过7个工作日；产品使用中发现异常，要求提出沟通后2小时内响应，6小时内提供解决方案，</w:t>
      </w:r>
      <w:r>
        <w:rPr>
          <w:rFonts w:hint="eastAsia" w:ascii="宋体" w:hAnsi="宋体" w:eastAsia="宋体" w:cs="宋体"/>
          <w:color w:val="000000"/>
          <w:kern w:val="0"/>
          <w:sz w:val="21"/>
          <w:szCs w:val="21"/>
          <w:highlight w:val="none"/>
          <w:lang w:val="en-US" w:eastAsia="zh-CN"/>
        </w:rPr>
        <w:t>如有需要，</w:t>
      </w:r>
      <w:r>
        <w:rPr>
          <w:rFonts w:hint="eastAsia" w:ascii="宋体" w:hAnsi="宋体" w:eastAsia="宋体" w:cs="宋体"/>
          <w:color w:val="000000"/>
          <w:kern w:val="0"/>
          <w:sz w:val="21"/>
          <w:szCs w:val="21"/>
          <w:highlight w:val="none"/>
          <w:lang w:eastAsia="zh-CN"/>
        </w:rPr>
        <w:t>48小时内技术支持人员现场解决问题。</w:t>
      </w:r>
    </w:p>
    <w:p w14:paraId="52968815">
      <w:pPr>
        <w:keepNext w:val="0"/>
        <w:keepLines w:val="0"/>
        <w:pageBreakBefore w:val="0"/>
        <w:widowControl/>
        <w:tabs>
          <w:tab w:val="left" w:pos="538"/>
        </w:tabs>
        <w:kinsoku/>
        <w:wordWrap w:val="0"/>
        <w:overflowPunct/>
        <w:topLinePunct w:val="0"/>
        <w:autoSpaceDE/>
        <w:autoSpaceDN/>
        <w:bidi w:val="0"/>
        <w:adjustRightInd/>
        <w:snapToGrid/>
        <w:spacing w:line="360" w:lineRule="auto"/>
        <w:ind w:left="0" w:leftChars="0" w:hanging="17" w:firstLineChars="0"/>
        <w:jc w:val="left"/>
        <w:textAlignment w:val="auto"/>
        <w:rPr>
          <w:rFonts w:hint="eastAsia" w:ascii="宋体" w:hAnsi="宋体" w:eastAsia="宋体" w:cs="宋体"/>
          <w:color w:val="000000"/>
          <w:kern w:val="0"/>
          <w:sz w:val="21"/>
          <w:szCs w:val="21"/>
          <w:highlight w:val="none"/>
          <w:lang w:val="en-US" w:eastAsia="zh-CN"/>
        </w:rPr>
      </w:pPr>
      <w:r>
        <w:rPr>
          <w:rFonts w:hint="eastAsia" w:ascii="宋体" w:hAnsi="宋体" w:eastAsia="宋体" w:cs="宋体"/>
          <w:sz w:val="21"/>
          <w:szCs w:val="21"/>
          <w:lang w:val="en-US" w:eastAsia="zh-CN"/>
        </w:rPr>
        <w:t>7.</w:t>
      </w:r>
      <w:r>
        <w:rPr>
          <w:rFonts w:hint="eastAsia" w:ascii="宋体" w:hAnsi="宋体" w:eastAsia="宋体" w:cs="宋体"/>
          <w:b/>
          <w:bCs/>
          <w:color w:val="000000"/>
          <w:kern w:val="0"/>
          <w:sz w:val="21"/>
          <w:szCs w:val="21"/>
          <w:highlight w:val="none"/>
          <w:lang w:val="en-US" w:eastAsia="zh-CN"/>
        </w:rPr>
        <w:t>提供</w:t>
      </w:r>
      <w:r>
        <w:rPr>
          <w:rFonts w:hint="eastAsia" w:ascii="宋体" w:hAnsi="宋体" w:eastAsia="宋体" w:cs="宋体"/>
          <w:b/>
          <w:bCs/>
          <w:color w:val="000000"/>
          <w:kern w:val="0"/>
          <w:sz w:val="21"/>
          <w:szCs w:val="21"/>
          <w:highlight w:val="none"/>
        </w:rPr>
        <w:t>特殊情况下的应急方案</w:t>
      </w:r>
      <w:r>
        <w:rPr>
          <w:rFonts w:hint="eastAsia" w:ascii="宋体" w:hAnsi="宋体" w:eastAsia="宋体" w:cs="宋体"/>
          <w:b/>
          <w:bCs/>
          <w:color w:val="000000"/>
          <w:kern w:val="0"/>
          <w:sz w:val="21"/>
          <w:szCs w:val="21"/>
          <w:highlight w:val="none"/>
          <w:lang w:eastAsia="zh-CN"/>
        </w:rPr>
        <w:t>：</w:t>
      </w:r>
      <w:r>
        <w:rPr>
          <w:rFonts w:hint="eastAsia" w:ascii="宋体" w:hAnsi="宋体" w:eastAsia="宋体" w:cs="宋体"/>
          <w:color w:val="000000"/>
          <w:kern w:val="0"/>
          <w:sz w:val="21"/>
          <w:szCs w:val="21"/>
          <w:highlight w:val="none"/>
        </w:rPr>
        <w:t>如遇到特殊情况时如何做到不断货，保证动物饲养的正常维持</w:t>
      </w:r>
      <w:r>
        <w:rPr>
          <w:rFonts w:hint="eastAsia" w:ascii="宋体" w:hAnsi="宋体" w:eastAsia="宋体" w:cs="宋体"/>
          <w:color w:val="000000"/>
          <w:kern w:val="0"/>
          <w:sz w:val="21"/>
          <w:szCs w:val="21"/>
          <w:highlight w:val="none"/>
          <w:lang w:eastAsia="zh-CN"/>
        </w:rPr>
        <w:t>，紧急情况下送货到达指定地点时间不超过24</w:t>
      </w:r>
      <w:r>
        <w:rPr>
          <w:rFonts w:hint="eastAsia" w:ascii="宋体" w:hAnsi="宋体" w:eastAsia="宋体" w:cs="宋体"/>
          <w:color w:val="000000"/>
          <w:kern w:val="0"/>
          <w:sz w:val="21"/>
          <w:szCs w:val="21"/>
          <w:highlight w:val="none"/>
          <w:lang w:val="en-US" w:eastAsia="zh-CN"/>
        </w:rPr>
        <w:t>小时</w:t>
      </w:r>
      <w:r>
        <w:rPr>
          <w:rFonts w:hint="eastAsia" w:ascii="宋体" w:hAnsi="宋体" w:eastAsia="宋体" w:cs="宋体"/>
          <w:color w:val="000000"/>
          <w:kern w:val="0"/>
          <w:sz w:val="21"/>
          <w:szCs w:val="21"/>
          <w:highlight w:val="none"/>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A83458"/>
    <w:rsid w:val="04106C1B"/>
    <w:rsid w:val="062513A7"/>
    <w:rsid w:val="0C9244F0"/>
    <w:rsid w:val="0D36234A"/>
    <w:rsid w:val="10E90B4A"/>
    <w:rsid w:val="1198193E"/>
    <w:rsid w:val="13006247"/>
    <w:rsid w:val="152534E9"/>
    <w:rsid w:val="15A97568"/>
    <w:rsid w:val="17A16DA2"/>
    <w:rsid w:val="1912394D"/>
    <w:rsid w:val="1962226C"/>
    <w:rsid w:val="1D796AC8"/>
    <w:rsid w:val="1E71770A"/>
    <w:rsid w:val="1E843FD2"/>
    <w:rsid w:val="25340D21"/>
    <w:rsid w:val="26314ADB"/>
    <w:rsid w:val="27EC7473"/>
    <w:rsid w:val="291205B5"/>
    <w:rsid w:val="2A4549C5"/>
    <w:rsid w:val="2B8A6B60"/>
    <w:rsid w:val="2DE17538"/>
    <w:rsid w:val="30A80AF6"/>
    <w:rsid w:val="315472C7"/>
    <w:rsid w:val="325F5E35"/>
    <w:rsid w:val="341B3C33"/>
    <w:rsid w:val="34DE70A1"/>
    <w:rsid w:val="351333A1"/>
    <w:rsid w:val="355543CD"/>
    <w:rsid w:val="35CF175C"/>
    <w:rsid w:val="368B5869"/>
    <w:rsid w:val="37046FAB"/>
    <w:rsid w:val="37A34AE3"/>
    <w:rsid w:val="3A746FA8"/>
    <w:rsid w:val="44837FE3"/>
    <w:rsid w:val="486A7B26"/>
    <w:rsid w:val="58F73A01"/>
    <w:rsid w:val="5EC62C14"/>
    <w:rsid w:val="60970180"/>
    <w:rsid w:val="61932538"/>
    <w:rsid w:val="63DA383C"/>
    <w:rsid w:val="6530590C"/>
    <w:rsid w:val="67684FD9"/>
    <w:rsid w:val="6B006C9C"/>
    <w:rsid w:val="6DCC3F7E"/>
    <w:rsid w:val="708214EA"/>
    <w:rsid w:val="742A102D"/>
    <w:rsid w:val="7474369C"/>
    <w:rsid w:val="76A83458"/>
    <w:rsid w:val="775E2A64"/>
    <w:rsid w:val="7CB57080"/>
    <w:rsid w:val="7F4018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0"/>
    <w:pPr>
      <w:ind w:firstLine="420"/>
    </w:pPr>
    <w:rPr>
      <w:rFonts w:ascii="Times New Roman" w:hAnsi="Times New Roman" w:eastAsia="宋体" w:cs="Times New Roman"/>
      <w:szCs w:val="20"/>
    </w:rPr>
  </w:style>
  <w:style w:type="paragraph" w:styleId="3">
    <w:name w:val="annotation text"/>
    <w:basedOn w:val="1"/>
    <w:qFormat/>
    <w:uiPriority w:val="0"/>
    <w:pPr>
      <w:jc w:val="left"/>
    </w:p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annotation reference"/>
    <w:qFormat/>
    <w:uiPriority w:val="99"/>
    <w:rPr>
      <w:sz w:val="21"/>
      <w:szCs w:val="21"/>
    </w:rPr>
  </w:style>
  <w:style w:type="paragraph" w:customStyle="1" w:styleId="8">
    <w:name w:val="首行缩进"/>
    <w:basedOn w:val="1"/>
    <w:qFormat/>
    <w:uiPriority w:val="0"/>
    <w:pPr>
      <w:ind w:firstLine="480" w:firstLineChars="200"/>
    </w:pPr>
    <w:rPr>
      <w:rFonts w:ascii="Times New Roman" w:hAnsi="Calibri" w:eastAsia="宋体" w:cs="Times New Roman"/>
      <w:szCs w:val="20"/>
      <w:lang w:val="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2426</Words>
  <Characters>2788</Characters>
  <Lines>0</Lines>
  <Paragraphs>0</Paragraphs>
  <TotalTime>4</TotalTime>
  <ScaleCrop>false</ScaleCrop>
  <LinksUpToDate>false</LinksUpToDate>
  <CharactersWithSpaces>2837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2025-01-24T08:27:00Z</dcterms:created>
  <dc:creator>Zhangyx</dc:creator>
  <cp:lastModifiedBy>Huang14</cp:lastModifiedBy>
  <dcterms:modified xsi:type="dcterms:W3CDTF">2026-08-11T08:02:53Z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279836483FDB48FD8F006AB74DE605E8_11</vt:lpwstr>
  </property>
  <property fmtid="{D5CDD505-2E9C-101B-9397-08002B2CF9AE}" pid="4" name="KSOTemplateDocerSaveRecord">
    <vt:lpwstr>eyJoZGlkIjoiN2M1NWQ4YTQ1N2I0NDY3ZjcxNGI2OGI2MGMxNWI2MTUiLCJ1c2VySWQiOiI0MDUxMTY4OTgifQ==</vt:lpwstr>
  </property>
</Properties>
</file>