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BF4F9">
      <w:pPr>
        <w:spacing w:after="240" w:line="560" w:lineRule="exact"/>
        <w:jc w:val="center"/>
        <w:rPr>
          <w:rFonts w:hint="eastAsia" w:ascii="方正小标宋_GBK" w:hAnsi="宋体" w:eastAsia="方正小标宋_GBK"/>
          <w:color w:val="000000"/>
          <w:sz w:val="36"/>
          <w:szCs w:val="36"/>
          <w:lang w:eastAsia="zh-CN"/>
        </w:rPr>
      </w:pPr>
      <w:r>
        <w:rPr>
          <w:rFonts w:hint="eastAsia" w:ascii="方正小标宋_GBK" w:hAnsi="宋体" w:eastAsia="方正小标宋_GBK"/>
          <w:color w:val="000000"/>
          <w:sz w:val="36"/>
          <w:szCs w:val="36"/>
        </w:rPr>
        <w:fldChar w:fldCharType="begin">
          <w:fldData xml:space="preserve">ZQBKAHoAdABYAFEAMQA0AGwATQBXAGQAbgB6AGUANwAyAGQAMABNAG8AYwBRAG8AYQBSAHEAMQBy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</w:fldData>
        </w:fldChar>
      </w:r>
      <w:r>
        <w:rPr>
          <w:rFonts w:hint="eastAsia" w:ascii="方正小标宋_GBK" w:hAnsi="宋体" w:eastAsia="方正小标宋_GBK"/>
          <w:color w:val="000000"/>
          <w:sz w:val="36"/>
          <w:szCs w:val="36"/>
          <w:lang w:eastAsia="zh-CN"/>
        </w:rPr>
        <w:instrText xml:space="preserve">ADDIN CNKISM.UserStyle</w:instrText>
      </w:r>
      <w:r>
        <w:rPr>
          <w:rFonts w:hint="eastAsia" w:ascii="方正小标宋_GBK" w:hAnsi="宋体" w:eastAsia="方正小标宋_GBK"/>
          <w:color w:val="000000"/>
          <w:sz w:val="36"/>
          <w:szCs w:val="36"/>
        </w:rPr>
        <w:fldChar w:fldCharType="separate"/>
      </w:r>
      <w:r>
        <w:rPr>
          <w:rFonts w:hint="eastAsia" w:ascii="方正小标宋_GBK" w:hAnsi="宋体" w:eastAsia="方正小标宋_GBK"/>
          <w:color w:val="000000"/>
          <w:sz w:val="36"/>
          <w:szCs w:val="36"/>
        </w:rPr>
        <w:fldChar w:fldCharType="end"/>
      </w:r>
    </w:p>
    <w:p w14:paraId="0D41C6BB">
      <w:pPr>
        <w:spacing w:after="240" w:line="560" w:lineRule="exact"/>
        <w:jc w:val="center"/>
        <w:rPr>
          <w:rFonts w:hint="eastAsia" w:ascii="方正小标宋_GBK" w:hAnsi="宋体" w:eastAsia="方正小标宋_GBK"/>
          <w:color w:val="000000"/>
          <w:sz w:val="36"/>
          <w:szCs w:val="36"/>
        </w:rPr>
      </w:pPr>
      <w:r>
        <w:rPr>
          <w:rFonts w:ascii="方正小标宋_GBK" w:hAnsi="宋体" w:eastAsia="方正小标宋_GBK"/>
          <w:color w:val="000000"/>
          <w:sz w:val="36"/>
          <w:szCs w:val="36"/>
        </w:rPr>
        <w:t>中山大学附属第一（南沙）医院安全运维服务</w:t>
      </w:r>
    </w:p>
    <w:p w14:paraId="2F71B858">
      <w:pPr>
        <w:spacing w:after="240" w:line="560" w:lineRule="exact"/>
        <w:jc w:val="center"/>
        <w:rPr>
          <w:rFonts w:hint="eastAsia" w:ascii="方正小标宋_GBK" w:hAnsi="宋体" w:eastAsia="方正小标宋_GBK"/>
          <w:color w:val="000000"/>
          <w:sz w:val="36"/>
          <w:szCs w:val="36"/>
        </w:rPr>
      </w:pPr>
      <w:r>
        <w:rPr>
          <w:rFonts w:ascii="方正小标宋_GBK" w:hAnsi="宋体" w:eastAsia="方正小标宋_GBK"/>
          <w:color w:val="000000"/>
          <w:sz w:val="36"/>
          <w:szCs w:val="36"/>
        </w:rPr>
        <w:t>项目采购需求</w:t>
      </w:r>
    </w:p>
    <w:p w14:paraId="20681E29">
      <w:pPr>
        <w:pStyle w:val="4"/>
        <w:tabs>
          <w:tab w:val="center" w:pos="4706"/>
        </w:tabs>
        <w:rPr>
          <w:rFonts w:hint="eastAsia"/>
          <w:color w:val="000000"/>
          <w:lang w:eastAsia="zh-CN"/>
        </w:rPr>
      </w:pPr>
    </w:p>
    <w:p w14:paraId="4D29FE9B">
      <w:pPr>
        <w:pStyle w:val="4"/>
        <w:tabs>
          <w:tab w:val="center" w:pos="4706"/>
        </w:tabs>
        <w:rPr>
          <w:color w:val="000000"/>
        </w:rPr>
      </w:pPr>
      <w:r>
        <w:rPr>
          <w:rFonts w:hint="eastAsia"/>
          <w:color w:val="000000"/>
          <w:lang w:eastAsia="zh-CN"/>
        </w:rPr>
        <w:t>（</w:t>
      </w:r>
      <w:r>
        <w:rPr>
          <w:rFonts w:hint="eastAsia"/>
          <w:color w:val="000000"/>
          <w:lang w:val="en-US" w:eastAsia="zh-CN"/>
        </w:rPr>
        <w:t>一</w:t>
      </w:r>
      <w:r>
        <w:rPr>
          <w:rFonts w:hint="eastAsia"/>
          <w:color w:val="000000"/>
          <w:lang w:eastAsia="zh-CN"/>
        </w:rPr>
        <w:t>）</w:t>
      </w:r>
      <w:r>
        <w:rPr>
          <w:color w:val="000000"/>
        </w:rPr>
        <w:t>采购内容</w:t>
      </w:r>
      <w:r>
        <w:rPr>
          <w:color w:val="000000"/>
        </w:rPr>
        <w:tab/>
      </w:r>
    </w:p>
    <w:p w14:paraId="5F195679">
      <w:pPr>
        <w:spacing w:line="360" w:lineRule="auto"/>
        <w:ind w:left="480"/>
        <w:rPr>
          <w:rFonts w:hint="eastAsia" w:ascii="宋体" w:hAnsi="宋体"/>
          <w:color w:val="000000"/>
          <w:sz w:val="24"/>
        </w:rPr>
      </w:pPr>
      <w:r>
        <w:rPr>
          <w:rFonts w:ascii="宋体" w:hAnsi="宋体"/>
          <w:color w:val="000000"/>
          <w:sz w:val="24"/>
        </w:rPr>
        <w:t>本项目确定1家供应商，为采购人提供网络安全运行维护服务。</w:t>
      </w:r>
    </w:p>
    <w:p w14:paraId="6A175BD0">
      <w:pPr>
        <w:pStyle w:val="4"/>
        <w:rPr>
          <w:color w:val="000000"/>
        </w:rPr>
      </w:pPr>
      <w:r>
        <w:rPr>
          <w:rFonts w:hint="eastAsia"/>
          <w:color w:val="000000"/>
          <w:lang w:eastAsia="zh-CN"/>
        </w:rPr>
        <w:t>（</w:t>
      </w:r>
      <w:r>
        <w:rPr>
          <w:rFonts w:hint="eastAsia"/>
          <w:color w:val="000000"/>
          <w:lang w:val="en-US" w:eastAsia="zh-CN"/>
        </w:rPr>
        <w:t>二</w:t>
      </w:r>
      <w:r>
        <w:rPr>
          <w:rFonts w:hint="eastAsia"/>
          <w:color w:val="000000"/>
          <w:lang w:eastAsia="zh-CN"/>
        </w:rPr>
        <w:t>）</w:t>
      </w:r>
      <w:r>
        <w:rPr>
          <w:color w:val="000000"/>
        </w:rPr>
        <w:t>项目实施地点及工期要求</w:t>
      </w:r>
    </w:p>
    <w:p w14:paraId="1D2A1E12">
      <w:pPr>
        <w:spacing w:line="360" w:lineRule="auto"/>
        <w:rPr>
          <w:rFonts w:hint="eastAsia" w:ascii="宋体" w:hAnsi="宋体"/>
          <w:color w:val="000000"/>
          <w:sz w:val="24"/>
        </w:rPr>
      </w:pPr>
      <w:r>
        <w:rPr>
          <w:rFonts w:ascii="宋体" w:hAnsi="宋体"/>
          <w:color w:val="000000"/>
          <w:sz w:val="24"/>
        </w:rPr>
        <w:t xml:space="preserve">    本项目实施地点：广州市南沙区横沥镇明珠湾起步区横沥岛西侧中山大学附属第一（南沙）医院，实施周期为期12个月（自采购人首次通知供应商入场时间起）。</w:t>
      </w:r>
    </w:p>
    <w:p w14:paraId="73D05467">
      <w:pPr>
        <w:pStyle w:val="4"/>
        <w:rPr>
          <w:color w:val="000000"/>
        </w:rPr>
      </w:pPr>
      <w:r>
        <w:rPr>
          <w:rFonts w:hint="eastAsia"/>
          <w:color w:val="000000"/>
          <w:lang w:eastAsia="zh-CN"/>
        </w:rPr>
        <w:t>（</w:t>
      </w:r>
      <w:r>
        <w:rPr>
          <w:rFonts w:hint="eastAsia"/>
          <w:color w:val="000000"/>
          <w:lang w:val="en-US" w:eastAsia="zh-CN"/>
        </w:rPr>
        <w:t>三</w:t>
      </w:r>
      <w:r>
        <w:rPr>
          <w:rFonts w:hint="eastAsia"/>
          <w:color w:val="000000"/>
          <w:lang w:eastAsia="zh-CN"/>
        </w:rPr>
        <w:t>）</w:t>
      </w:r>
      <w:r>
        <w:rPr>
          <w:color w:val="000000"/>
        </w:rPr>
        <w:t>项目概况</w:t>
      </w:r>
    </w:p>
    <w:p w14:paraId="1A42F8A5">
      <w:pPr>
        <w:spacing w:line="360" w:lineRule="auto"/>
        <w:rPr>
          <w:rFonts w:hint="eastAsia" w:ascii="宋体" w:hAnsi="宋体"/>
          <w:b/>
          <w:color w:val="000000"/>
          <w:sz w:val="24"/>
        </w:rPr>
      </w:pPr>
      <w:r>
        <w:rPr>
          <w:rFonts w:hint="eastAsia" w:ascii="宋体" w:hAnsi="宋体"/>
          <w:b/>
          <w:color w:val="000000"/>
          <w:sz w:val="24"/>
          <w:lang w:val="en-US" w:eastAsia="zh-CN"/>
        </w:rPr>
        <w:t>1.</w:t>
      </w:r>
      <w:r>
        <w:rPr>
          <w:rFonts w:ascii="宋体" w:hAnsi="宋体"/>
          <w:b/>
          <w:color w:val="000000"/>
          <w:sz w:val="24"/>
        </w:rPr>
        <w:t>项目背景</w:t>
      </w:r>
    </w:p>
    <w:p w14:paraId="164983EC">
      <w:pPr>
        <w:spacing w:line="360" w:lineRule="auto"/>
        <w:ind w:firstLine="420"/>
        <w:rPr>
          <w:rFonts w:hint="eastAsia" w:ascii="宋体" w:hAnsi="宋体"/>
          <w:b/>
          <w:color w:val="000000"/>
          <w:sz w:val="24"/>
        </w:rPr>
      </w:pPr>
      <w:r>
        <w:rPr>
          <w:rFonts w:hint="eastAsia" w:ascii="宋体" w:hAnsi="宋体"/>
          <w:color w:val="000000"/>
          <w:sz w:val="24"/>
        </w:rPr>
        <w:t>中山大学附属第一（南沙）医院位于粤港澳大湾区几何中心南沙区横沥岛西侧，是中山大学附属第一医院（下称中山一院）和广州市南沙区人民政府合作共建的重点民生项目。面向国家和粤港澳大湾区战略需求，中山大学附属第一（南沙）医院是中山一院创建国家医学中心的重要载体，将全面承载国家医学中心研发攻关、成果转化、数据科学与人工智能、公共卫生、临床诊疗、中西医协同创新、人才培养、国际交流合作八大功能。</w:t>
      </w:r>
      <w:r>
        <w:rPr>
          <w:rFonts w:ascii="宋体" w:hAnsi="宋体"/>
          <w:color w:val="000000"/>
          <w:sz w:val="24"/>
        </w:rPr>
        <w:t>中山大学附属第一（南沙）医院</w:t>
      </w:r>
      <w:r>
        <w:rPr>
          <w:rFonts w:hint="eastAsia" w:ascii="宋体" w:hAnsi="宋体"/>
          <w:color w:val="000000"/>
          <w:sz w:val="24"/>
        </w:rPr>
        <w:t>将面向健康中国战略和人民健康需求，坚持人民至上、生命至上，努力建设成为技术顶尖、质量过硬、服务高效、管理精细的高水平医院，引领构建粤港澳大湾区医疗卫生高地，立足湾区、协同港澳、服务全国、走向世界，为健康中国建设和以中国式现代化推动中华民族伟大复兴的中国梦作出新的更大贡献，在新时代新起点上续写中山一院新辉煌！</w:t>
      </w:r>
      <w:r>
        <w:rPr>
          <w:rFonts w:ascii="宋体" w:hAnsi="宋体"/>
          <w:b/>
          <w:color w:val="000000"/>
          <w:sz w:val="24"/>
        </w:rPr>
        <w:t xml:space="preserve"> </w:t>
      </w:r>
    </w:p>
    <w:p w14:paraId="1D56AE22">
      <w:pPr>
        <w:spacing w:line="360" w:lineRule="auto"/>
        <w:rPr>
          <w:rFonts w:hint="eastAsia" w:ascii="宋体" w:hAnsi="宋体"/>
          <w:b/>
          <w:color w:val="000000"/>
          <w:sz w:val="24"/>
        </w:rPr>
      </w:pPr>
      <w:r>
        <w:rPr>
          <w:rFonts w:hint="eastAsia" w:ascii="宋体" w:hAnsi="宋体"/>
          <w:b/>
          <w:color w:val="000000"/>
          <w:sz w:val="24"/>
          <w:lang w:val="en-US" w:eastAsia="zh-CN"/>
        </w:rPr>
        <w:t>2.</w:t>
      </w:r>
      <w:r>
        <w:rPr>
          <w:rFonts w:ascii="宋体" w:hAnsi="宋体"/>
          <w:b/>
          <w:color w:val="000000"/>
          <w:sz w:val="24"/>
        </w:rPr>
        <w:t>项目现状</w:t>
      </w:r>
    </w:p>
    <w:p w14:paraId="0DDEA2C0">
      <w:pPr>
        <w:spacing w:line="360" w:lineRule="auto"/>
        <w:ind w:firstLine="480" w:firstLineChars="200"/>
        <w:rPr>
          <w:rFonts w:hint="eastAsia" w:ascii="宋体" w:hAnsi="宋体"/>
          <w:color w:val="000000"/>
          <w:sz w:val="24"/>
        </w:rPr>
      </w:pPr>
      <w:r>
        <w:rPr>
          <w:rFonts w:hint="eastAsia" w:ascii="宋体" w:hAnsi="宋体"/>
          <w:color w:val="000000"/>
          <w:sz w:val="24"/>
        </w:rPr>
        <w:t>采购人始终将网络安全工作置于智慧医院建设核心地位，现已建成集安全态势感知、高性能防火墙、终端防病毒、流量回溯、日志审计、Web 应用防火墙（WAF）等数十款安全设备于一体的多层次纵深安全防护体系。鉴于医院网络安全覆盖范围广、业务链路繁杂、技术架构复杂度高，需引入专业安全服务团队，配置专属人力、投入专项资源，开展常态化、精细化安全运维管理，持续为智慧医院高质量稳健运营筑牢网络安全屏障。</w:t>
      </w:r>
    </w:p>
    <w:p w14:paraId="6F132AA2">
      <w:pPr>
        <w:spacing w:line="360" w:lineRule="auto"/>
        <w:ind w:firstLine="480" w:firstLineChars="200"/>
        <w:rPr>
          <w:rFonts w:hint="eastAsia" w:ascii="宋体" w:hAnsi="宋体"/>
          <w:color w:val="000000"/>
          <w:sz w:val="24"/>
        </w:rPr>
      </w:pPr>
      <w:r>
        <w:rPr>
          <w:rFonts w:hint="eastAsia" w:ascii="宋体" w:hAnsi="宋体"/>
          <w:color w:val="000000"/>
          <w:sz w:val="24"/>
        </w:rPr>
        <w:t>南沙院区作为新建高水平三甲医院，将信息化支撑能力与网络安全防护能力列为医院核心竞争力的重要组成部分，对信息系统整体安全、稳定、可靠运行提出了更高标准、更严要求。在此背景下，采购专业化网络安全运维服务，既是补齐安全管控短板、健全整体安全保障体系的关键举措，更是推动各项安全制度策略落地执行、常态化提升风险识别与应急防控能力的必要支撑路径。</w:t>
      </w:r>
    </w:p>
    <w:p w14:paraId="4D5774AC">
      <w:pPr>
        <w:pStyle w:val="4"/>
        <w:rPr>
          <w:color w:val="000000"/>
        </w:rPr>
      </w:pPr>
      <w:bookmarkStart w:id="0" w:name="_Toc440632522"/>
      <w:r>
        <w:rPr>
          <w:rFonts w:hint="eastAsia"/>
          <w:color w:val="000000"/>
          <w:lang w:val="en-US" w:eastAsia="zh-CN"/>
        </w:rPr>
        <w:t>3.</w:t>
      </w:r>
      <w:r>
        <w:rPr>
          <w:color w:val="000000"/>
        </w:rPr>
        <w:t>项目目标</w:t>
      </w:r>
      <w:bookmarkEnd w:id="0"/>
    </w:p>
    <w:p w14:paraId="2F23D303">
      <w:pPr>
        <w:spacing w:line="360" w:lineRule="auto"/>
        <w:ind w:firstLine="480" w:firstLineChars="200"/>
        <w:rPr>
          <w:rFonts w:hint="eastAsia" w:ascii="宋体" w:hAnsi="宋体"/>
          <w:color w:val="000000"/>
          <w:sz w:val="24"/>
        </w:rPr>
      </w:pPr>
      <w:r>
        <w:rPr>
          <w:rFonts w:ascii="宋体" w:hAnsi="宋体"/>
          <w:color w:val="000000"/>
          <w:sz w:val="24"/>
        </w:rPr>
        <w:t>通过本项目实施，</w:t>
      </w:r>
      <w:r>
        <w:rPr>
          <w:rFonts w:hint="eastAsia" w:ascii="宋体" w:hAnsi="宋体"/>
          <w:color w:val="000000"/>
          <w:sz w:val="24"/>
        </w:rPr>
        <w:t>将全面提升采购人网络安全综合保障能力，预期实现五大效益</w:t>
      </w:r>
      <w:r>
        <w:rPr>
          <w:rFonts w:ascii="宋体" w:hAnsi="宋体"/>
          <w:color w:val="000000"/>
          <w:sz w:val="24"/>
        </w:rPr>
        <w:t>：</w:t>
      </w:r>
    </w:p>
    <w:p w14:paraId="0C62DC7B">
      <w:pPr>
        <w:numPr>
          <w:ilvl w:val="0"/>
          <w:numId w:val="7"/>
        </w:numPr>
        <w:spacing w:line="360" w:lineRule="auto"/>
        <w:ind w:firstLine="480" w:firstLineChars="200"/>
        <w:rPr>
          <w:rFonts w:hint="eastAsia" w:ascii="宋体" w:hAnsi="宋体"/>
          <w:color w:val="000000"/>
          <w:sz w:val="24"/>
        </w:rPr>
      </w:pPr>
      <w:r>
        <w:rPr>
          <w:rFonts w:hint="eastAsia" w:ascii="宋体" w:hAnsi="宋体"/>
          <w:color w:val="000000"/>
          <w:sz w:val="24"/>
        </w:rPr>
        <w:t>开展安全体系优化专项服务，服务内容包括：安全管理咨询、日常安全咨询等内容，覆盖安全策略评估及优化、安全管理体系有效性测评、全域网络安全风险评估等工作。全面梳理修订信息安全管理制度及流程规范，协助制度发布落地，补齐安全管理体系短板；提供安全咨询支撑，同步出具专业安全分析报告，实现安全管理流程闭环、安全风险可控在控。</w:t>
      </w:r>
    </w:p>
    <w:p w14:paraId="47B10B9D">
      <w:pPr>
        <w:numPr>
          <w:ilvl w:val="0"/>
          <w:numId w:val="7"/>
        </w:numPr>
        <w:spacing w:line="360" w:lineRule="auto"/>
        <w:ind w:firstLine="480" w:firstLineChars="200"/>
        <w:rPr>
          <w:rFonts w:hint="eastAsia" w:ascii="宋体" w:hAnsi="宋体"/>
          <w:color w:val="000000"/>
          <w:sz w:val="24"/>
        </w:rPr>
      </w:pPr>
      <w:r>
        <w:rPr>
          <w:rFonts w:hint="eastAsia" w:ascii="宋体" w:hAnsi="宋体"/>
          <w:color w:val="000000"/>
          <w:sz w:val="24"/>
        </w:rPr>
        <w:t>开展安全体系运营服务，保障日常安全工作规范有序落地。服务内容包括：</w:t>
      </w:r>
      <w:r>
        <w:rPr>
          <w:rFonts w:ascii="宋体" w:hAnsi="宋体"/>
          <w:color w:val="000000"/>
          <w:sz w:val="24"/>
        </w:rPr>
        <w:t>重要设备资产管理、安全基线优化、安全设备运维、监测优化、漏洞扫描与管理、渗透测试、入网安全评测、安全通报、等保年审配合、互联网敏感信息泄露排查、</w:t>
      </w:r>
      <w:r>
        <w:rPr>
          <w:rFonts w:hint="eastAsia" w:ascii="宋体" w:hAnsi="宋体"/>
          <w:color w:val="000000"/>
          <w:sz w:val="24"/>
        </w:rPr>
        <w:t>重要安全设备高可用故障恢复演练</w:t>
      </w:r>
      <w:r>
        <w:rPr>
          <w:rFonts w:ascii="宋体" w:hAnsi="宋体"/>
          <w:color w:val="000000"/>
          <w:sz w:val="24"/>
        </w:rPr>
        <w:t>等服务</w:t>
      </w:r>
      <w:r>
        <w:rPr>
          <w:rFonts w:hint="eastAsia" w:ascii="宋体" w:hAnsi="宋体"/>
          <w:color w:val="000000"/>
          <w:sz w:val="24"/>
        </w:rPr>
        <w:t>，同时</w:t>
      </w:r>
      <w:r>
        <w:rPr>
          <w:rFonts w:ascii="宋体" w:hAnsi="宋体"/>
          <w:color w:val="000000"/>
          <w:sz w:val="24"/>
        </w:rPr>
        <w:t>验证技术体系有效性</w:t>
      </w:r>
      <w:r>
        <w:rPr>
          <w:rFonts w:hint="eastAsia" w:ascii="宋体" w:hAnsi="宋体"/>
          <w:color w:val="000000"/>
          <w:sz w:val="24"/>
        </w:rPr>
        <w:t>、优化自适应技术体系、</w:t>
      </w:r>
      <w:r>
        <w:rPr>
          <w:rFonts w:ascii="宋体" w:hAnsi="宋体"/>
          <w:color w:val="000000"/>
          <w:sz w:val="24"/>
        </w:rPr>
        <w:t>，</w:t>
      </w:r>
      <w:r>
        <w:rPr>
          <w:rFonts w:hint="eastAsia" w:ascii="宋体" w:hAnsi="宋体"/>
          <w:color w:val="000000"/>
          <w:sz w:val="24"/>
        </w:rPr>
        <w:t>通过体系化运营，统筹管控采购人核心资产，实现暴露面精准研判、脆弱性及时发现、安全风险及时处置。其中渗透测试模拟攻击者视角，针对业务系统等核心资产开展深度漏洞挖掘，排查深层次安全隐患，全面检验信息系统安全防护能力</w:t>
      </w:r>
      <w:r>
        <w:rPr>
          <w:rFonts w:ascii="宋体" w:hAnsi="宋体"/>
          <w:color w:val="000000"/>
          <w:sz w:val="24"/>
        </w:rPr>
        <w:t>。</w:t>
      </w:r>
    </w:p>
    <w:p w14:paraId="6E1750F6">
      <w:pPr>
        <w:numPr>
          <w:ilvl w:val="0"/>
          <w:numId w:val="7"/>
        </w:numPr>
        <w:spacing w:line="360" w:lineRule="auto"/>
        <w:ind w:firstLine="480" w:firstLineChars="200"/>
        <w:rPr>
          <w:rFonts w:hint="eastAsia" w:ascii="宋体" w:hAnsi="宋体"/>
          <w:color w:val="000000"/>
          <w:sz w:val="24"/>
        </w:rPr>
      </w:pPr>
      <w:r>
        <w:rPr>
          <w:rFonts w:ascii="宋体" w:hAnsi="宋体"/>
          <w:color w:val="000000"/>
          <w:sz w:val="24"/>
        </w:rPr>
        <w:t>开展安全应急保障服务，</w:t>
      </w:r>
      <w:r>
        <w:rPr>
          <w:rFonts w:hint="eastAsia" w:ascii="宋体" w:hAnsi="宋体"/>
          <w:color w:val="000000"/>
          <w:sz w:val="24"/>
        </w:rPr>
        <w:t>服务内容包括：</w:t>
      </w:r>
      <w:r>
        <w:rPr>
          <w:rFonts w:ascii="宋体" w:hAnsi="宋体"/>
          <w:color w:val="000000"/>
          <w:sz w:val="24"/>
        </w:rPr>
        <w:t>应急预案完善、应急演练、应急响应等服务，</w:t>
      </w:r>
      <w:r>
        <w:rPr>
          <w:rFonts w:hint="eastAsia" w:ascii="宋体" w:hAnsi="宋体"/>
          <w:color w:val="000000"/>
          <w:sz w:val="24"/>
        </w:rPr>
        <w:t>编制并修订完善应急预案，定期组织应急演练；当发生网络安全突发事件时，牵头主导应急处置工作，统筹协调各方落实专业防护处置措施，对安全事件开展监测、分析、研判、处置，保障信息资产安全稳定运行。</w:t>
      </w:r>
    </w:p>
    <w:p w14:paraId="0F89DFC9">
      <w:pPr>
        <w:numPr>
          <w:ilvl w:val="0"/>
          <w:numId w:val="7"/>
        </w:numPr>
        <w:spacing w:line="360" w:lineRule="auto"/>
        <w:ind w:firstLine="480" w:firstLineChars="200"/>
        <w:rPr>
          <w:rFonts w:hint="eastAsia" w:ascii="宋体" w:hAnsi="宋体"/>
          <w:color w:val="000000"/>
          <w:sz w:val="24"/>
        </w:rPr>
      </w:pPr>
      <w:r>
        <w:rPr>
          <w:rFonts w:ascii="宋体" w:hAnsi="宋体"/>
          <w:color w:val="000000"/>
          <w:sz w:val="24"/>
        </w:rPr>
        <w:t>开展安全专项保障服务，</w:t>
      </w:r>
      <w:r>
        <w:rPr>
          <w:rFonts w:hint="eastAsia" w:ascii="宋体" w:hAnsi="宋体"/>
          <w:color w:val="000000"/>
          <w:sz w:val="24"/>
        </w:rPr>
        <w:t>服务内容包括：</w:t>
      </w:r>
      <w:r>
        <w:rPr>
          <w:rFonts w:ascii="宋体" w:hAnsi="宋体"/>
          <w:color w:val="000000"/>
          <w:sz w:val="24"/>
        </w:rPr>
        <w:t>重保活动保障、合规迎检配合、护网专项保障等，</w:t>
      </w:r>
      <w:r>
        <w:rPr>
          <w:rFonts w:hint="eastAsia" w:ascii="宋体" w:hAnsi="宋体"/>
          <w:color w:val="000000"/>
          <w:sz w:val="24"/>
        </w:rPr>
        <w:t>对全域信息系统开展整体风险评估，重保期间按采购人要求安排专人值守并处置突发安全事件；全程配合卫健委、公安、网信等主管部门开展合规检查与资料报送；护网期间实行 7×24 小时全天候值守，快速研判并处置各类网络安全事件。</w:t>
      </w:r>
    </w:p>
    <w:p w14:paraId="375AE395">
      <w:pPr>
        <w:numPr>
          <w:ilvl w:val="0"/>
          <w:numId w:val="7"/>
        </w:numPr>
        <w:spacing w:line="360" w:lineRule="auto"/>
        <w:ind w:firstLine="480" w:firstLineChars="200"/>
        <w:rPr>
          <w:rFonts w:hint="eastAsia" w:ascii="宋体" w:hAnsi="宋体"/>
          <w:color w:val="000000"/>
          <w:sz w:val="24"/>
        </w:rPr>
      </w:pPr>
      <w:r>
        <w:rPr>
          <w:rFonts w:ascii="宋体" w:hAnsi="宋体"/>
          <w:color w:val="000000"/>
          <w:sz w:val="24"/>
        </w:rPr>
        <w:t>开展安全培训服务，</w:t>
      </w:r>
      <w:r>
        <w:rPr>
          <w:rFonts w:hint="eastAsia" w:ascii="宋体" w:hAnsi="宋体"/>
          <w:color w:val="000000"/>
          <w:sz w:val="24"/>
        </w:rPr>
        <w:t>服务内容包括：</w:t>
      </w:r>
      <w:r>
        <w:rPr>
          <w:rFonts w:ascii="宋体" w:hAnsi="宋体"/>
          <w:color w:val="000000"/>
          <w:sz w:val="24"/>
        </w:rPr>
        <w:t>安全意识培训、安全技能培训、网络安全宣传周等，</w:t>
      </w:r>
      <w:r>
        <w:rPr>
          <w:rFonts w:hint="eastAsia" w:ascii="宋体" w:hAnsi="宋体"/>
          <w:color w:val="000000"/>
          <w:sz w:val="24"/>
        </w:rPr>
        <w:t>面向全体员工开展信息安全意识宣教，强化全员安全认知；针对采购人的信息化管理部门开展专项技能培训，规范安全操作流程与工作标准，提升专业人员网络安全运维、防护及应急处置能力</w:t>
      </w:r>
      <w:r>
        <w:rPr>
          <w:rFonts w:ascii="宋体" w:hAnsi="宋体"/>
          <w:color w:val="000000"/>
          <w:sz w:val="24"/>
        </w:rPr>
        <w:t>。</w:t>
      </w:r>
    </w:p>
    <w:p w14:paraId="34D9A27F">
      <w:pPr>
        <w:pStyle w:val="4"/>
        <w:rPr>
          <w:color w:val="000000"/>
        </w:rPr>
      </w:pPr>
      <w:r>
        <w:rPr>
          <w:rFonts w:hint="eastAsia"/>
          <w:color w:val="000000"/>
          <w:lang w:val="en-US" w:eastAsia="zh-CN"/>
        </w:rPr>
        <w:t>4.</w:t>
      </w:r>
      <w:commentRangeStart w:id="0"/>
      <w:commentRangeStart w:id="1"/>
      <w:r>
        <w:rPr>
          <w:color w:val="000000"/>
        </w:rPr>
        <w:t>技术要求</w:t>
      </w:r>
      <w:commentRangeEnd w:id="0"/>
      <w:r>
        <w:commentReference w:id="0"/>
      </w:r>
      <w:commentRangeEnd w:id="1"/>
      <w:r>
        <w:commentReference w:id="1"/>
      </w:r>
      <w:r>
        <w:rPr>
          <w:color w:val="000000"/>
          <w:highlight w:val="none"/>
        </w:rPr>
        <w:t>（供应商须对</w:t>
      </w:r>
      <w:r>
        <w:rPr>
          <w:rFonts w:hint="eastAsia"/>
          <w:color w:val="000000"/>
          <w:highlight w:val="none"/>
          <w:lang w:val="en-US" w:eastAsia="zh-CN"/>
        </w:rPr>
        <w:t>4.1</w:t>
      </w:r>
      <w:r>
        <w:rPr>
          <w:color w:val="000000"/>
          <w:highlight w:val="none"/>
        </w:rPr>
        <w:t>-</w:t>
      </w:r>
      <w:r>
        <w:rPr>
          <w:rFonts w:hint="eastAsia"/>
          <w:color w:val="000000"/>
          <w:highlight w:val="none"/>
          <w:lang w:val="en-US" w:eastAsia="zh-CN"/>
        </w:rPr>
        <w:t>4.5</w:t>
      </w:r>
      <w:r>
        <w:rPr>
          <w:color w:val="000000"/>
          <w:highlight w:val="none"/>
        </w:rPr>
        <w:t>内容的响应情况进行自查并编制需求响应表）</w:t>
      </w:r>
    </w:p>
    <w:p w14:paraId="1C3BB409">
      <w:pPr>
        <w:spacing w:line="360" w:lineRule="auto"/>
        <w:ind w:firstLine="480" w:firstLineChars="200"/>
        <w:rPr>
          <w:rFonts w:hint="eastAsia" w:ascii="宋体" w:hAnsi="宋体"/>
          <w:color w:val="000000"/>
          <w:sz w:val="24"/>
        </w:rPr>
      </w:pPr>
      <w:r>
        <w:rPr>
          <w:rFonts w:ascii="宋体" w:hAnsi="宋体"/>
          <w:color w:val="000000"/>
          <w:sz w:val="24"/>
        </w:rPr>
        <w:t>本项目拟采购网络安全</w:t>
      </w:r>
      <w:r>
        <w:rPr>
          <w:rFonts w:hint="eastAsia" w:ascii="宋体" w:hAnsi="宋体"/>
          <w:color w:val="000000"/>
          <w:sz w:val="24"/>
        </w:rPr>
        <w:t>的</w:t>
      </w:r>
      <w:r>
        <w:rPr>
          <w:rFonts w:ascii="宋体" w:hAnsi="宋体"/>
          <w:color w:val="000000"/>
          <w:sz w:val="24"/>
        </w:rPr>
        <w:t>体系优化、体系运营、应急保障、专项保障、安全培训五类专业服务，形成对采购人网络安全体系的全面优化提升，具体如下表所述：</w:t>
      </w:r>
    </w:p>
    <w:p w14:paraId="39768534">
      <w:pPr>
        <w:spacing w:line="360" w:lineRule="auto"/>
        <w:ind w:firstLine="480" w:firstLineChars="200"/>
        <w:rPr>
          <w:rFonts w:hint="eastAsia" w:ascii="宋体" w:hAnsi="宋体"/>
          <w:color w:val="000000"/>
          <w:sz w:val="24"/>
        </w:rPr>
      </w:pPr>
    </w:p>
    <w:tbl>
      <w:tblPr>
        <w:tblStyle w:val="37"/>
        <w:tblW w:w="9349" w:type="dxa"/>
        <w:tblInd w:w="-128" w:type="dxa"/>
        <w:tblLayout w:type="autofit"/>
        <w:tblCellMar>
          <w:top w:w="0" w:type="dxa"/>
          <w:left w:w="108" w:type="dxa"/>
          <w:bottom w:w="0" w:type="dxa"/>
          <w:right w:w="108" w:type="dxa"/>
        </w:tblCellMar>
      </w:tblPr>
      <w:tblGrid>
        <w:gridCol w:w="1404"/>
        <w:gridCol w:w="1501"/>
        <w:gridCol w:w="6444"/>
      </w:tblGrid>
      <w:tr w14:paraId="2248DF5F">
        <w:tblPrEx>
          <w:tblCellMar>
            <w:top w:w="0" w:type="dxa"/>
            <w:left w:w="108" w:type="dxa"/>
            <w:bottom w:w="0" w:type="dxa"/>
            <w:right w:w="108" w:type="dxa"/>
          </w:tblCellMar>
        </w:tblPrEx>
        <w:trPr>
          <w:trHeight w:val="348" w:hRule="atLeast"/>
        </w:trPr>
        <w:tc>
          <w:tcPr>
            <w:tcW w:w="1404" w:type="dxa"/>
            <w:tcBorders>
              <w:top w:val="single" w:color="000000" w:sz="4" w:space="0"/>
              <w:left w:val="single" w:color="000000" w:sz="4" w:space="0"/>
              <w:bottom w:val="single" w:color="000000" w:sz="4" w:space="0"/>
              <w:right w:val="single" w:color="000000" w:sz="4" w:space="0"/>
            </w:tcBorders>
            <w:vAlign w:val="center"/>
          </w:tcPr>
          <w:p w14:paraId="12E0DDC1">
            <w:pPr>
              <w:widowControl/>
              <w:jc w:val="center"/>
              <w:rPr>
                <w:rFonts w:eastAsia="等线"/>
                <w:b/>
                <w:bCs/>
                <w:color w:val="000000"/>
                <w:sz w:val="28"/>
                <w:szCs w:val="28"/>
              </w:rPr>
            </w:pPr>
            <w:r>
              <w:rPr>
                <w:rStyle w:val="235"/>
                <w:lang w:bidi="en-US"/>
              </w:rPr>
              <w:t>名称</w:t>
            </w:r>
          </w:p>
        </w:tc>
        <w:tc>
          <w:tcPr>
            <w:tcW w:w="1501" w:type="dxa"/>
            <w:tcBorders>
              <w:top w:val="single" w:color="000000" w:sz="4" w:space="0"/>
              <w:left w:val="single" w:color="000000" w:sz="4" w:space="0"/>
              <w:bottom w:val="single" w:color="000000" w:sz="4" w:space="0"/>
              <w:right w:val="single" w:color="000000" w:sz="4" w:space="0"/>
            </w:tcBorders>
            <w:vAlign w:val="center"/>
          </w:tcPr>
          <w:p w14:paraId="57A801FD">
            <w:pPr>
              <w:widowControl/>
              <w:jc w:val="center"/>
              <w:rPr>
                <w:rFonts w:eastAsia="等线"/>
                <w:b/>
                <w:bCs/>
                <w:color w:val="000000"/>
                <w:sz w:val="28"/>
                <w:szCs w:val="28"/>
              </w:rPr>
            </w:pPr>
            <w:r>
              <w:rPr>
                <w:rStyle w:val="235"/>
                <w:lang w:bidi="en-US"/>
              </w:rPr>
              <w:t>工作内容</w:t>
            </w:r>
          </w:p>
        </w:tc>
        <w:tc>
          <w:tcPr>
            <w:tcW w:w="6444" w:type="dxa"/>
            <w:tcBorders>
              <w:top w:val="single" w:color="000000" w:sz="4" w:space="0"/>
              <w:left w:val="single" w:color="000000" w:sz="4" w:space="0"/>
              <w:bottom w:val="single" w:color="000000" w:sz="4" w:space="0"/>
              <w:right w:val="single" w:color="000000" w:sz="4" w:space="0"/>
            </w:tcBorders>
            <w:vAlign w:val="center"/>
          </w:tcPr>
          <w:p w14:paraId="63612EAF">
            <w:pPr>
              <w:widowControl/>
              <w:jc w:val="center"/>
              <w:rPr>
                <w:rFonts w:eastAsia="等线"/>
                <w:b/>
                <w:bCs/>
                <w:color w:val="000000"/>
                <w:sz w:val="28"/>
                <w:szCs w:val="28"/>
              </w:rPr>
            </w:pPr>
            <w:r>
              <w:rPr>
                <w:rStyle w:val="235"/>
                <w:lang w:bidi="en-US"/>
              </w:rPr>
              <w:t>服务范围内容</w:t>
            </w:r>
          </w:p>
        </w:tc>
      </w:tr>
      <w:tr w14:paraId="0C5B2511">
        <w:tblPrEx>
          <w:tblCellMar>
            <w:top w:w="0" w:type="dxa"/>
            <w:left w:w="108" w:type="dxa"/>
            <w:bottom w:w="0" w:type="dxa"/>
            <w:right w:w="108" w:type="dxa"/>
          </w:tblCellMar>
        </w:tblPrEx>
        <w:trPr>
          <w:trHeight w:val="312" w:hRule="atLeast"/>
        </w:trPr>
        <w:tc>
          <w:tcPr>
            <w:tcW w:w="9349" w:type="dxa"/>
            <w:gridSpan w:val="3"/>
            <w:tcBorders>
              <w:top w:val="single" w:color="000000" w:sz="4" w:space="0"/>
              <w:left w:val="single" w:color="000000" w:sz="4" w:space="0"/>
              <w:bottom w:val="single" w:color="000000" w:sz="4" w:space="0"/>
              <w:right w:val="single" w:color="000000" w:sz="4" w:space="0"/>
            </w:tcBorders>
            <w:vAlign w:val="center"/>
          </w:tcPr>
          <w:p w14:paraId="60ADF349">
            <w:pPr>
              <w:widowControl/>
              <w:jc w:val="left"/>
              <w:rPr>
                <w:rFonts w:hint="eastAsia" w:ascii="宋体" w:hAnsi="宋体"/>
                <w:b/>
                <w:bCs/>
                <w:color w:val="000000"/>
                <w:sz w:val="24"/>
              </w:rPr>
            </w:pPr>
            <w:r>
              <w:rPr>
                <w:rFonts w:hint="eastAsia" w:ascii="宋体" w:hAnsi="宋体"/>
                <w:b/>
                <w:bCs/>
                <w:color w:val="000000"/>
                <w:sz w:val="24"/>
                <w:lang w:val="en-US" w:eastAsia="zh-CN" w:bidi="en-US"/>
              </w:rPr>
              <w:t>4</w:t>
            </w:r>
            <w:r>
              <w:rPr>
                <w:rFonts w:ascii="宋体" w:hAnsi="宋体"/>
                <w:b/>
                <w:bCs/>
                <w:color w:val="000000"/>
                <w:sz w:val="24"/>
                <w:lang w:bidi="en-US"/>
              </w:rPr>
              <w:t>.1安全体系优化服务</w:t>
            </w:r>
          </w:p>
        </w:tc>
      </w:tr>
      <w:tr w14:paraId="7EDEA4BA">
        <w:tblPrEx>
          <w:tblCellMar>
            <w:top w:w="0" w:type="dxa"/>
            <w:left w:w="108" w:type="dxa"/>
            <w:bottom w:w="0" w:type="dxa"/>
            <w:right w:w="108" w:type="dxa"/>
          </w:tblCellMar>
        </w:tblPrEx>
        <w:trPr>
          <w:trHeight w:val="2304" w:hRule="atLeast"/>
        </w:trPr>
        <w:tc>
          <w:tcPr>
            <w:tcW w:w="1404" w:type="dxa"/>
            <w:vMerge w:val="restart"/>
            <w:tcBorders>
              <w:top w:val="single" w:color="000000" w:sz="4" w:space="0"/>
              <w:left w:val="single" w:color="000000" w:sz="4" w:space="0"/>
              <w:bottom w:val="single" w:color="000000" w:sz="4" w:space="0"/>
              <w:right w:val="single" w:color="000000" w:sz="4" w:space="0"/>
            </w:tcBorders>
            <w:vAlign w:val="center"/>
          </w:tcPr>
          <w:p w14:paraId="1FA9C615">
            <w:pPr>
              <w:widowControl/>
              <w:jc w:val="center"/>
              <w:rPr>
                <w:rFonts w:hint="eastAsia" w:ascii="宋体" w:hAnsi="宋体"/>
                <w:color w:val="000000"/>
                <w:sz w:val="22"/>
                <w:szCs w:val="22"/>
              </w:rPr>
            </w:pPr>
            <w:r>
              <w:rPr>
                <w:rFonts w:ascii="宋体" w:hAnsi="宋体"/>
                <w:color w:val="000000"/>
                <w:sz w:val="22"/>
                <w:szCs w:val="22"/>
                <w:lang w:bidi="en-US"/>
              </w:rPr>
              <w:t>安全体系优化</w:t>
            </w:r>
          </w:p>
        </w:tc>
        <w:tc>
          <w:tcPr>
            <w:tcW w:w="1501" w:type="dxa"/>
            <w:tcBorders>
              <w:top w:val="single" w:color="000000" w:sz="4" w:space="0"/>
              <w:left w:val="single" w:color="000000" w:sz="4" w:space="0"/>
              <w:bottom w:val="single" w:color="000000" w:sz="4" w:space="0"/>
              <w:right w:val="single" w:color="000000" w:sz="4" w:space="0"/>
            </w:tcBorders>
            <w:vAlign w:val="center"/>
          </w:tcPr>
          <w:p w14:paraId="4F20E35A">
            <w:pPr>
              <w:widowControl/>
              <w:jc w:val="center"/>
              <w:rPr>
                <w:rFonts w:hint="eastAsia" w:ascii="宋体" w:hAnsi="宋体"/>
                <w:color w:val="000000"/>
                <w:sz w:val="22"/>
                <w:szCs w:val="22"/>
              </w:rPr>
            </w:pPr>
            <w:r>
              <w:rPr>
                <w:rFonts w:ascii="宋体" w:hAnsi="宋体"/>
                <w:color w:val="000000"/>
                <w:sz w:val="22"/>
                <w:szCs w:val="22"/>
                <w:lang w:bidi="en-US"/>
              </w:rPr>
              <w:t>1.</w:t>
            </w:r>
            <w:r>
              <w:rPr>
                <w:rFonts w:hint="eastAsia" w:ascii="宋体" w:hAnsi="宋体"/>
                <w:color w:val="000000"/>
                <w:sz w:val="22"/>
                <w:szCs w:val="22"/>
                <w:lang w:bidi="en-US"/>
              </w:rPr>
              <w:t>安全</w:t>
            </w:r>
            <w:r>
              <w:rPr>
                <w:rFonts w:ascii="宋体" w:hAnsi="宋体"/>
                <w:color w:val="000000"/>
                <w:sz w:val="22"/>
                <w:szCs w:val="22"/>
                <w:lang w:bidi="en-US"/>
              </w:rPr>
              <w:t>管理咨询服务</w:t>
            </w:r>
          </w:p>
        </w:tc>
        <w:tc>
          <w:tcPr>
            <w:tcW w:w="6444" w:type="dxa"/>
            <w:tcBorders>
              <w:top w:val="single" w:color="000000" w:sz="4" w:space="0"/>
              <w:left w:val="single" w:color="000000" w:sz="4" w:space="0"/>
              <w:bottom w:val="single" w:color="000000" w:sz="4" w:space="0"/>
              <w:right w:val="single" w:color="000000" w:sz="4" w:space="0"/>
            </w:tcBorders>
            <w:vAlign w:val="center"/>
          </w:tcPr>
          <w:p w14:paraId="3BBED7BA">
            <w:pPr>
              <w:widowControl/>
              <w:numPr>
                <w:ilvl w:val="0"/>
                <w:numId w:val="8"/>
              </w:numPr>
              <w:jc w:val="left"/>
              <w:rPr>
                <w:rStyle w:val="236"/>
                <w:rFonts w:hint="eastAsia"/>
                <w:highlight w:val="none"/>
                <w:lang w:bidi="en-US"/>
              </w:rPr>
            </w:pPr>
            <w:r>
              <w:rPr>
                <w:rFonts w:ascii="宋体" w:hAnsi="宋体"/>
                <w:color w:val="000000"/>
                <w:sz w:val="22"/>
                <w:szCs w:val="22"/>
                <w:lang w:bidi="en-US"/>
              </w:rPr>
              <w:t>依据采购人当前需求及相关法律法规、行业标准，深入分析现有安全策略中存在的不完善、不符合及不恰当之处，全面评估策略实施现状；协助开展安全管理体系有效性评估与风险评估工作，并根据评估结果对安全管理策略文件进行优化升级，确保体系</w:t>
            </w:r>
            <w:r>
              <w:rPr>
                <w:rFonts w:ascii="宋体" w:hAnsi="宋体"/>
                <w:color w:val="000000"/>
                <w:sz w:val="22"/>
                <w:szCs w:val="22"/>
                <w:highlight w:val="none"/>
                <w:lang w:bidi="en-US"/>
              </w:rPr>
              <w:t>合规性与适用性</w:t>
            </w:r>
            <w:r>
              <w:rPr>
                <w:rFonts w:hint="eastAsia" w:ascii="宋体" w:hAnsi="宋体"/>
                <w:color w:val="000000"/>
                <w:sz w:val="22"/>
                <w:szCs w:val="22"/>
                <w:highlight w:val="none"/>
                <w:lang w:bidi="en-US"/>
              </w:rPr>
              <w:t>；</w:t>
            </w:r>
          </w:p>
          <w:p w14:paraId="2366C0DB">
            <w:pPr>
              <w:widowControl/>
              <w:numPr>
                <w:ilvl w:val="0"/>
                <w:numId w:val="8"/>
              </w:numPr>
              <w:jc w:val="left"/>
              <w:rPr>
                <w:rStyle w:val="238"/>
                <w:rFonts w:hint="eastAsia"/>
                <w:highlight w:val="none"/>
                <w:lang w:bidi="en-US"/>
              </w:rPr>
            </w:pPr>
            <w:r>
              <w:rPr>
                <w:rStyle w:val="238"/>
                <w:highlight w:val="none"/>
                <w:lang w:bidi="en-US"/>
              </w:rPr>
              <w:t>针对安全管理体系运行过程中的痛点与难点，提供持续性改进支持；协助采购人解决体系落地执行中出现的各类实际问题，通过闭环管理机制消除运营障碍，持续提升整体安全管理水平</w:t>
            </w:r>
            <w:r>
              <w:rPr>
                <w:rStyle w:val="238"/>
                <w:rFonts w:hint="eastAsia"/>
                <w:highlight w:val="none"/>
                <w:lang w:bidi="en-US"/>
              </w:rPr>
              <w:t>；</w:t>
            </w:r>
          </w:p>
          <w:p w14:paraId="25EFE2DB">
            <w:pPr>
              <w:widowControl/>
              <w:numPr>
                <w:ilvl w:val="0"/>
                <w:numId w:val="8"/>
              </w:numPr>
              <w:jc w:val="left"/>
              <w:rPr>
                <w:rFonts w:hint="eastAsia" w:ascii="宋体" w:hAnsi="宋体"/>
                <w:color w:val="000000"/>
                <w:sz w:val="22"/>
                <w:szCs w:val="22"/>
                <w:lang w:bidi="en-US"/>
              </w:rPr>
            </w:pPr>
            <w:r>
              <w:rPr>
                <w:rStyle w:val="238"/>
                <w:highlight w:val="none"/>
                <w:lang w:bidi="en-US"/>
              </w:rPr>
              <w:t>按采购人需求配合开展其它专项咨询服务。</w:t>
            </w:r>
          </w:p>
        </w:tc>
      </w:tr>
      <w:tr w14:paraId="57FD87DF">
        <w:tblPrEx>
          <w:tblCellMar>
            <w:top w:w="0" w:type="dxa"/>
            <w:left w:w="108" w:type="dxa"/>
            <w:bottom w:w="0" w:type="dxa"/>
            <w:right w:w="108" w:type="dxa"/>
          </w:tblCellMar>
        </w:tblPrEx>
        <w:trPr>
          <w:trHeight w:val="1152" w:hRule="atLeast"/>
        </w:trPr>
        <w:tc>
          <w:tcPr>
            <w:tcW w:w="1404" w:type="dxa"/>
            <w:vMerge w:val="continue"/>
            <w:tcBorders>
              <w:top w:val="single" w:color="000000" w:sz="4" w:space="0"/>
              <w:left w:val="single" w:color="000000" w:sz="4" w:space="0"/>
              <w:bottom w:val="single" w:color="000000" w:sz="4" w:space="0"/>
              <w:right w:val="single" w:color="000000" w:sz="4" w:space="0"/>
            </w:tcBorders>
            <w:vAlign w:val="center"/>
          </w:tcPr>
          <w:p w14:paraId="3E62641D">
            <w:pPr>
              <w:jc w:val="center"/>
              <w:rPr>
                <w:rFonts w:hint="eastAsia" w:ascii="宋体" w:hAnsi="宋体"/>
                <w:color w:val="000000"/>
                <w:sz w:val="22"/>
                <w:szCs w:val="22"/>
              </w:rPr>
            </w:pPr>
          </w:p>
        </w:tc>
        <w:tc>
          <w:tcPr>
            <w:tcW w:w="1501" w:type="dxa"/>
            <w:tcBorders>
              <w:top w:val="single" w:color="000000" w:sz="4" w:space="0"/>
              <w:left w:val="single" w:color="000000" w:sz="4" w:space="0"/>
              <w:bottom w:val="single" w:color="000000" w:sz="4" w:space="0"/>
              <w:right w:val="single" w:color="000000" w:sz="4" w:space="0"/>
            </w:tcBorders>
            <w:vAlign w:val="center"/>
          </w:tcPr>
          <w:p w14:paraId="5FA77FC7">
            <w:pPr>
              <w:widowControl/>
              <w:jc w:val="center"/>
              <w:rPr>
                <w:rFonts w:hint="eastAsia" w:ascii="宋体" w:hAnsi="宋体"/>
                <w:color w:val="000000"/>
                <w:sz w:val="22"/>
                <w:szCs w:val="22"/>
              </w:rPr>
            </w:pPr>
            <w:r>
              <w:rPr>
                <w:rFonts w:ascii="宋体" w:hAnsi="宋体"/>
                <w:color w:val="000000"/>
                <w:sz w:val="22"/>
                <w:szCs w:val="22"/>
                <w:lang w:bidi="en-US"/>
              </w:rPr>
              <w:t>2.日常安全咨询服务</w:t>
            </w:r>
          </w:p>
        </w:tc>
        <w:tc>
          <w:tcPr>
            <w:tcW w:w="6444" w:type="dxa"/>
            <w:tcBorders>
              <w:top w:val="single" w:color="000000" w:sz="4" w:space="0"/>
              <w:left w:val="single" w:color="000000" w:sz="4" w:space="0"/>
              <w:bottom w:val="single" w:color="000000" w:sz="4" w:space="0"/>
              <w:right w:val="single" w:color="000000" w:sz="4" w:space="0"/>
            </w:tcBorders>
            <w:vAlign w:val="center"/>
          </w:tcPr>
          <w:p w14:paraId="5D163ED1">
            <w:pPr>
              <w:widowControl/>
              <w:jc w:val="left"/>
              <w:rPr>
                <w:rFonts w:hint="eastAsia" w:ascii="宋体" w:hAnsi="宋体"/>
                <w:color w:val="000000"/>
                <w:sz w:val="22"/>
                <w:szCs w:val="22"/>
                <w:lang w:bidi="en-US"/>
              </w:rPr>
            </w:pPr>
            <w:r>
              <w:rPr>
                <w:rFonts w:ascii="宋体" w:hAnsi="宋体"/>
                <w:color w:val="000000"/>
                <w:sz w:val="22"/>
                <w:szCs w:val="22"/>
                <w:lang w:bidi="en-US"/>
              </w:rPr>
              <w:t>（1）</w:t>
            </w:r>
            <w:r>
              <w:rPr>
                <w:rFonts w:hint="eastAsia" w:ascii="宋体" w:hAnsi="宋体"/>
                <w:color w:val="000000"/>
                <w:sz w:val="22"/>
                <w:szCs w:val="22"/>
                <w:lang w:bidi="en-US"/>
              </w:rPr>
              <w:t>网络与数据</w:t>
            </w:r>
            <w:r>
              <w:rPr>
                <w:rFonts w:ascii="宋体" w:hAnsi="宋体"/>
                <w:color w:val="000000"/>
                <w:sz w:val="22"/>
                <w:szCs w:val="22"/>
                <w:lang w:bidi="en-US"/>
              </w:rPr>
              <w:t>安全事件响应、安全现状分析和报告编制以及安全相关建议；</w:t>
            </w:r>
          </w:p>
          <w:p w14:paraId="0AE1D16D">
            <w:pPr>
              <w:widowControl/>
              <w:jc w:val="left"/>
              <w:rPr>
                <w:rFonts w:hint="eastAsia" w:ascii="宋体" w:hAnsi="宋体"/>
                <w:color w:val="000000"/>
                <w:sz w:val="22"/>
                <w:szCs w:val="22"/>
                <w:lang w:bidi="en-US"/>
              </w:rPr>
            </w:pPr>
            <w:r>
              <w:rPr>
                <w:rFonts w:ascii="宋体" w:hAnsi="宋体"/>
                <w:color w:val="000000"/>
                <w:sz w:val="22"/>
                <w:szCs w:val="22"/>
                <w:lang w:bidi="en-US"/>
              </w:rPr>
              <w:t>（2）针对日常工作中遇到</w:t>
            </w:r>
            <w:r>
              <w:rPr>
                <w:rFonts w:hint="eastAsia" w:ascii="宋体" w:hAnsi="宋体"/>
                <w:color w:val="000000"/>
                <w:sz w:val="22"/>
                <w:szCs w:val="22"/>
                <w:lang w:bidi="en-US"/>
              </w:rPr>
              <w:t>网络与数据</w:t>
            </w:r>
            <w:r>
              <w:rPr>
                <w:rFonts w:ascii="宋体" w:hAnsi="宋体"/>
                <w:color w:val="000000"/>
                <w:sz w:val="22"/>
                <w:szCs w:val="22"/>
                <w:lang w:bidi="en-US"/>
              </w:rPr>
              <w:t>安全方面的问题提供解答并协助解决；</w:t>
            </w:r>
          </w:p>
          <w:p w14:paraId="37DDEDEE">
            <w:pPr>
              <w:widowControl/>
              <w:jc w:val="left"/>
              <w:rPr>
                <w:rFonts w:hint="eastAsia" w:ascii="宋体" w:hAnsi="宋体"/>
                <w:color w:val="000000"/>
                <w:sz w:val="22"/>
                <w:szCs w:val="22"/>
              </w:rPr>
            </w:pPr>
            <w:r>
              <w:rPr>
                <w:rFonts w:ascii="宋体" w:hAnsi="宋体"/>
                <w:color w:val="000000"/>
                <w:sz w:val="22"/>
                <w:szCs w:val="22"/>
                <w:lang w:bidi="en-US"/>
              </w:rPr>
              <w:t>（3）梳理采购人</w:t>
            </w:r>
            <w:r>
              <w:rPr>
                <w:rFonts w:hint="eastAsia" w:ascii="宋体" w:hAnsi="宋体"/>
                <w:color w:val="000000"/>
                <w:sz w:val="22"/>
                <w:szCs w:val="22"/>
                <w:lang w:bidi="en-US"/>
              </w:rPr>
              <w:t>网络与数据</w:t>
            </w:r>
            <w:r>
              <w:rPr>
                <w:rFonts w:ascii="宋体" w:hAnsi="宋体"/>
                <w:color w:val="000000"/>
                <w:sz w:val="22"/>
                <w:szCs w:val="22"/>
                <w:lang w:bidi="en-US"/>
              </w:rPr>
              <w:t>安全管理现状和实际工作机制，在依法合规的基础上，按照采购人要求为安全管理制度和规范流程进行梳理和调整，协助管理制度得到有效发布，保障信息安全管理得到有效执行，管理风险得到有效控制。</w:t>
            </w:r>
          </w:p>
        </w:tc>
      </w:tr>
      <w:tr w14:paraId="53DF9A9A">
        <w:tblPrEx>
          <w:tblCellMar>
            <w:top w:w="0" w:type="dxa"/>
            <w:left w:w="108" w:type="dxa"/>
            <w:bottom w:w="0" w:type="dxa"/>
            <w:right w:w="108" w:type="dxa"/>
          </w:tblCellMar>
        </w:tblPrEx>
        <w:trPr>
          <w:trHeight w:val="312" w:hRule="atLeast"/>
        </w:trPr>
        <w:tc>
          <w:tcPr>
            <w:tcW w:w="9349" w:type="dxa"/>
            <w:gridSpan w:val="3"/>
            <w:tcBorders>
              <w:top w:val="single" w:color="000000" w:sz="4" w:space="0"/>
              <w:left w:val="single" w:color="000000" w:sz="4" w:space="0"/>
              <w:bottom w:val="single" w:color="000000" w:sz="4" w:space="0"/>
              <w:right w:val="single" w:color="000000" w:sz="4" w:space="0"/>
            </w:tcBorders>
            <w:vAlign w:val="center"/>
          </w:tcPr>
          <w:p w14:paraId="345249A2">
            <w:pPr>
              <w:widowControl/>
              <w:jc w:val="left"/>
              <w:rPr>
                <w:rFonts w:hint="eastAsia" w:ascii="宋体" w:hAnsi="宋体"/>
                <w:b/>
                <w:bCs/>
                <w:color w:val="000000"/>
                <w:sz w:val="24"/>
              </w:rPr>
            </w:pPr>
            <w:r>
              <w:rPr>
                <w:rFonts w:hint="eastAsia" w:ascii="宋体" w:hAnsi="宋体"/>
                <w:b/>
                <w:bCs/>
                <w:color w:val="000000"/>
                <w:sz w:val="24"/>
                <w:lang w:val="en-US" w:eastAsia="zh-CN" w:bidi="en-US"/>
              </w:rPr>
              <w:t>4</w:t>
            </w:r>
            <w:r>
              <w:rPr>
                <w:rFonts w:ascii="宋体" w:hAnsi="宋体"/>
                <w:b/>
                <w:bCs/>
                <w:color w:val="000000"/>
                <w:sz w:val="24"/>
                <w:lang w:bidi="en-US"/>
              </w:rPr>
              <w:t>.2安全体系运营服务</w:t>
            </w:r>
          </w:p>
        </w:tc>
      </w:tr>
      <w:tr w14:paraId="67384897">
        <w:tblPrEx>
          <w:tblCellMar>
            <w:top w:w="0" w:type="dxa"/>
            <w:left w:w="108" w:type="dxa"/>
            <w:bottom w:w="0" w:type="dxa"/>
            <w:right w:w="108" w:type="dxa"/>
          </w:tblCellMar>
        </w:tblPrEx>
        <w:trPr>
          <w:trHeight w:val="864" w:hRule="atLeast"/>
        </w:trPr>
        <w:tc>
          <w:tcPr>
            <w:tcW w:w="1404" w:type="dxa"/>
            <w:vMerge w:val="restart"/>
            <w:tcBorders>
              <w:top w:val="single" w:color="000000" w:sz="4" w:space="0"/>
              <w:left w:val="single" w:color="000000" w:sz="4" w:space="0"/>
              <w:right w:val="single" w:color="000000" w:sz="4" w:space="0"/>
            </w:tcBorders>
            <w:vAlign w:val="center"/>
          </w:tcPr>
          <w:p w14:paraId="443ADC1D">
            <w:pPr>
              <w:widowControl/>
              <w:jc w:val="center"/>
              <w:rPr>
                <w:rFonts w:hint="eastAsia" w:ascii="宋体" w:hAnsi="宋体"/>
                <w:color w:val="000000"/>
                <w:sz w:val="22"/>
                <w:szCs w:val="22"/>
              </w:rPr>
            </w:pPr>
            <w:r>
              <w:rPr>
                <w:rFonts w:ascii="宋体" w:hAnsi="宋体"/>
                <w:color w:val="000000"/>
                <w:sz w:val="22"/>
                <w:szCs w:val="22"/>
                <w:lang w:bidi="en-US"/>
              </w:rPr>
              <w:t>安全</w:t>
            </w:r>
            <w:r>
              <w:rPr>
                <w:rStyle w:val="240"/>
                <w:lang w:bidi="en-US"/>
              </w:rPr>
              <w:t>体系运营</w:t>
            </w:r>
          </w:p>
        </w:tc>
        <w:tc>
          <w:tcPr>
            <w:tcW w:w="1501" w:type="dxa"/>
            <w:tcBorders>
              <w:top w:val="single" w:color="000000" w:sz="4" w:space="0"/>
              <w:left w:val="single" w:color="000000" w:sz="4" w:space="0"/>
              <w:bottom w:val="single" w:color="000000" w:sz="4" w:space="0"/>
              <w:right w:val="single" w:color="000000" w:sz="4" w:space="0"/>
            </w:tcBorders>
            <w:vAlign w:val="center"/>
          </w:tcPr>
          <w:p w14:paraId="211B1A08">
            <w:pPr>
              <w:widowControl/>
              <w:jc w:val="center"/>
              <w:rPr>
                <w:rFonts w:hint="eastAsia" w:ascii="宋体" w:hAnsi="宋体"/>
                <w:color w:val="000000"/>
                <w:sz w:val="22"/>
                <w:szCs w:val="22"/>
              </w:rPr>
            </w:pPr>
            <w:r>
              <w:rPr>
                <w:rFonts w:ascii="宋体" w:hAnsi="宋体"/>
                <w:color w:val="000000"/>
                <w:sz w:val="22"/>
                <w:szCs w:val="22"/>
                <w:lang w:bidi="en-US"/>
              </w:rPr>
              <w:t>1.资产管理</w:t>
            </w:r>
          </w:p>
        </w:tc>
        <w:tc>
          <w:tcPr>
            <w:tcW w:w="6444" w:type="dxa"/>
            <w:tcBorders>
              <w:top w:val="single" w:color="000000" w:sz="4" w:space="0"/>
              <w:left w:val="single" w:color="000000" w:sz="4" w:space="0"/>
              <w:bottom w:val="single" w:color="000000" w:sz="4" w:space="0"/>
              <w:right w:val="single" w:color="000000" w:sz="4" w:space="0"/>
            </w:tcBorders>
            <w:vAlign w:val="center"/>
          </w:tcPr>
          <w:p w14:paraId="7D63DB4B">
            <w:pPr>
              <w:widowControl/>
              <w:jc w:val="left"/>
              <w:rPr>
                <w:rFonts w:hint="eastAsia" w:ascii="宋体" w:hAnsi="宋体"/>
                <w:color w:val="000000"/>
                <w:sz w:val="22"/>
                <w:szCs w:val="22"/>
                <w:lang w:bidi="en-US"/>
              </w:rPr>
            </w:pPr>
            <w:r>
              <w:rPr>
                <w:rFonts w:ascii="宋体" w:hAnsi="宋体"/>
                <w:color w:val="000000"/>
                <w:sz w:val="22"/>
                <w:szCs w:val="22"/>
                <w:lang w:bidi="en-US"/>
              </w:rPr>
              <w:t>（1）对现有服务器主机台账信息、安全设备台账信息进行汇总和整理</w:t>
            </w:r>
            <w:r>
              <w:rPr>
                <w:rFonts w:hint="eastAsia" w:ascii="宋体" w:hAnsi="宋体"/>
                <w:color w:val="000000"/>
                <w:sz w:val="22"/>
                <w:szCs w:val="22"/>
                <w:lang w:bidi="en-US"/>
              </w:rPr>
              <w:t>；</w:t>
            </w:r>
          </w:p>
          <w:p w14:paraId="27C2620D">
            <w:pPr>
              <w:widowControl/>
              <w:jc w:val="left"/>
              <w:rPr>
                <w:rFonts w:hint="eastAsia" w:ascii="宋体" w:hAnsi="宋体"/>
                <w:color w:val="000000"/>
                <w:sz w:val="22"/>
                <w:szCs w:val="22"/>
              </w:rPr>
            </w:pPr>
            <w:r>
              <w:rPr>
                <w:rFonts w:ascii="宋体" w:hAnsi="宋体"/>
                <w:color w:val="000000"/>
                <w:sz w:val="22"/>
                <w:szCs w:val="22"/>
                <w:lang w:bidi="en-US"/>
              </w:rPr>
              <w:t>（2）摸排业务访问关系，梳理安全隐患，收敛资产暴露面，进行资产分类和量化管理。</w:t>
            </w:r>
          </w:p>
        </w:tc>
      </w:tr>
      <w:tr w14:paraId="55565688">
        <w:tblPrEx>
          <w:tblCellMar>
            <w:top w:w="0" w:type="dxa"/>
            <w:left w:w="108" w:type="dxa"/>
            <w:bottom w:w="0" w:type="dxa"/>
            <w:right w:w="108" w:type="dxa"/>
          </w:tblCellMar>
        </w:tblPrEx>
        <w:trPr>
          <w:trHeight w:val="576" w:hRule="atLeast"/>
        </w:trPr>
        <w:tc>
          <w:tcPr>
            <w:tcW w:w="1404" w:type="dxa"/>
            <w:vMerge w:val="continue"/>
            <w:tcBorders>
              <w:left w:val="single" w:color="000000" w:sz="4" w:space="0"/>
              <w:right w:val="single" w:color="000000" w:sz="4" w:space="0"/>
            </w:tcBorders>
            <w:vAlign w:val="center"/>
          </w:tcPr>
          <w:p w14:paraId="7545A7B6">
            <w:pPr>
              <w:jc w:val="center"/>
              <w:rPr>
                <w:rFonts w:hint="eastAsia" w:ascii="宋体" w:hAnsi="宋体"/>
                <w:color w:val="000000"/>
                <w:sz w:val="22"/>
                <w:szCs w:val="22"/>
              </w:rPr>
            </w:pPr>
          </w:p>
        </w:tc>
        <w:tc>
          <w:tcPr>
            <w:tcW w:w="1501" w:type="dxa"/>
            <w:tcBorders>
              <w:top w:val="single" w:color="000000" w:sz="4" w:space="0"/>
              <w:left w:val="single" w:color="000000" w:sz="4" w:space="0"/>
              <w:bottom w:val="single" w:color="000000" w:sz="4" w:space="0"/>
              <w:right w:val="single" w:color="000000" w:sz="4" w:space="0"/>
            </w:tcBorders>
            <w:vAlign w:val="center"/>
          </w:tcPr>
          <w:p w14:paraId="0C3FEFAD">
            <w:pPr>
              <w:widowControl/>
              <w:jc w:val="center"/>
              <w:rPr>
                <w:rFonts w:hint="eastAsia" w:ascii="宋体" w:hAnsi="宋体"/>
                <w:color w:val="000000"/>
                <w:sz w:val="22"/>
                <w:szCs w:val="22"/>
              </w:rPr>
            </w:pPr>
            <w:r>
              <w:rPr>
                <w:rFonts w:ascii="宋体" w:hAnsi="宋体"/>
                <w:color w:val="000000"/>
                <w:sz w:val="22"/>
                <w:szCs w:val="22"/>
                <w:lang w:bidi="en-US"/>
              </w:rPr>
              <w:t>2.安全基线优化</w:t>
            </w:r>
          </w:p>
        </w:tc>
        <w:tc>
          <w:tcPr>
            <w:tcW w:w="6444" w:type="dxa"/>
            <w:tcBorders>
              <w:top w:val="single" w:color="000000" w:sz="4" w:space="0"/>
              <w:left w:val="single" w:color="000000" w:sz="4" w:space="0"/>
              <w:bottom w:val="single" w:color="000000" w:sz="4" w:space="0"/>
              <w:right w:val="single" w:color="000000" w:sz="4" w:space="0"/>
            </w:tcBorders>
            <w:vAlign w:val="center"/>
          </w:tcPr>
          <w:p w14:paraId="0BDA6B62">
            <w:pPr>
              <w:widowControl/>
              <w:jc w:val="left"/>
              <w:rPr>
                <w:rFonts w:hint="eastAsia" w:ascii="宋体" w:hAnsi="宋体"/>
                <w:color w:val="000000"/>
                <w:sz w:val="22"/>
                <w:szCs w:val="22"/>
              </w:rPr>
            </w:pPr>
            <w:r>
              <w:rPr>
                <w:rFonts w:ascii="宋体" w:hAnsi="宋体"/>
                <w:color w:val="000000"/>
                <w:sz w:val="22"/>
                <w:szCs w:val="22"/>
                <w:lang w:bidi="en-US"/>
              </w:rPr>
              <w:t>优化医院全网信息资产安全基线制度、医院安全基线标准、安全基线配置及检查手册。</w:t>
            </w:r>
          </w:p>
        </w:tc>
      </w:tr>
      <w:tr w14:paraId="3E61B881">
        <w:tblPrEx>
          <w:tblCellMar>
            <w:top w:w="0" w:type="dxa"/>
            <w:left w:w="108" w:type="dxa"/>
            <w:bottom w:w="0" w:type="dxa"/>
            <w:right w:w="108" w:type="dxa"/>
          </w:tblCellMar>
        </w:tblPrEx>
        <w:trPr>
          <w:trHeight w:val="2304" w:hRule="atLeast"/>
        </w:trPr>
        <w:tc>
          <w:tcPr>
            <w:tcW w:w="1404" w:type="dxa"/>
            <w:vMerge w:val="continue"/>
            <w:tcBorders>
              <w:left w:val="single" w:color="000000" w:sz="4" w:space="0"/>
              <w:right w:val="single" w:color="000000" w:sz="4" w:space="0"/>
            </w:tcBorders>
            <w:vAlign w:val="center"/>
          </w:tcPr>
          <w:p w14:paraId="6C4287A1">
            <w:pPr>
              <w:jc w:val="center"/>
              <w:rPr>
                <w:rFonts w:hint="eastAsia" w:ascii="宋体" w:hAnsi="宋体"/>
                <w:color w:val="000000"/>
                <w:sz w:val="22"/>
                <w:szCs w:val="22"/>
              </w:rPr>
            </w:pPr>
          </w:p>
        </w:tc>
        <w:tc>
          <w:tcPr>
            <w:tcW w:w="1501" w:type="dxa"/>
            <w:tcBorders>
              <w:top w:val="single" w:color="000000" w:sz="4" w:space="0"/>
              <w:left w:val="single" w:color="000000" w:sz="4" w:space="0"/>
              <w:bottom w:val="single" w:color="000000" w:sz="4" w:space="0"/>
              <w:right w:val="single" w:color="000000" w:sz="4" w:space="0"/>
            </w:tcBorders>
            <w:vAlign w:val="center"/>
          </w:tcPr>
          <w:p w14:paraId="4F5A1EBA">
            <w:pPr>
              <w:widowControl/>
              <w:jc w:val="center"/>
              <w:rPr>
                <w:rFonts w:hint="eastAsia" w:ascii="宋体" w:hAnsi="宋体"/>
                <w:color w:val="000000"/>
                <w:sz w:val="22"/>
                <w:szCs w:val="22"/>
              </w:rPr>
            </w:pPr>
            <w:r>
              <w:rPr>
                <w:rFonts w:ascii="宋体" w:hAnsi="宋体"/>
                <w:color w:val="000000"/>
                <w:sz w:val="22"/>
                <w:szCs w:val="22"/>
                <w:lang w:bidi="en-US"/>
              </w:rPr>
              <w:t>3.安全设备运维</w:t>
            </w:r>
          </w:p>
        </w:tc>
        <w:tc>
          <w:tcPr>
            <w:tcW w:w="6444" w:type="dxa"/>
            <w:tcBorders>
              <w:top w:val="single" w:color="000000" w:sz="4" w:space="0"/>
              <w:left w:val="single" w:color="000000" w:sz="4" w:space="0"/>
              <w:bottom w:val="single" w:color="000000" w:sz="4" w:space="0"/>
              <w:right w:val="single" w:color="000000" w:sz="4" w:space="0"/>
            </w:tcBorders>
            <w:vAlign w:val="center"/>
          </w:tcPr>
          <w:p w14:paraId="663A47CD">
            <w:pPr>
              <w:widowControl/>
              <w:jc w:val="left"/>
              <w:rPr>
                <w:rFonts w:hint="eastAsia" w:ascii="宋体" w:hAnsi="宋体"/>
                <w:color w:val="000000"/>
                <w:sz w:val="22"/>
                <w:szCs w:val="22"/>
                <w:lang w:bidi="en-US"/>
              </w:rPr>
            </w:pPr>
            <w:r>
              <w:rPr>
                <w:rFonts w:ascii="宋体" w:hAnsi="宋体"/>
                <w:color w:val="000000"/>
                <w:sz w:val="22"/>
                <w:szCs w:val="22"/>
                <w:lang w:bidi="en-US"/>
              </w:rPr>
              <w:t>对现网部署的安全设备进行运行状态检测和运行故障处置，每天开展5*8现场，7*24远程的安全监测服务，对安全设备进行巡检，安全设备故障上报、诊断与处置，并对发现的重大网络安全事件上报。</w:t>
            </w:r>
          </w:p>
          <w:p w14:paraId="0D11BB63">
            <w:pPr>
              <w:widowControl/>
              <w:jc w:val="left"/>
              <w:rPr>
                <w:rFonts w:hint="eastAsia" w:ascii="宋体" w:hAnsi="宋体"/>
                <w:color w:val="000000"/>
                <w:sz w:val="22"/>
                <w:szCs w:val="22"/>
                <w:lang w:bidi="en-US"/>
              </w:rPr>
            </w:pPr>
            <w:r>
              <w:rPr>
                <w:rFonts w:hint="eastAsia" w:ascii="宋体" w:hAnsi="宋体"/>
                <w:color w:val="000000"/>
                <w:sz w:val="22"/>
                <w:szCs w:val="22"/>
                <w:lang w:bidi="en-US"/>
              </w:rPr>
              <w:t>（</w:t>
            </w:r>
            <w:r>
              <w:rPr>
                <w:rFonts w:ascii="宋体" w:hAnsi="宋体"/>
                <w:color w:val="000000"/>
                <w:sz w:val="22"/>
                <w:szCs w:val="22"/>
                <w:lang w:bidi="en-US"/>
              </w:rPr>
              <w:t>1）按需开通及调优安全策略，协助采购人调测相关安全设备，并提出安全建议；</w:t>
            </w:r>
          </w:p>
          <w:p w14:paraId="49F42311">
            <w:pPr>
              <w:widowControl/>
              <w:jc w:val="left"/>
              <w:rPr>
                <w:rFonts w:hint="eastAsia" w:ascii="宋体" w:hAnsi="宋体"/>
                <w:color w:val="000000"/>
                <w:sz w:val="22"/>
                <w:szCs w:val="22"/>
                <w:lang w:bidi="en-US"/>
              </w:rPr>
            </w:pPr>
            <w:r>
              <w:rPr>
                <w:rFonts w:ascii="宋体" w:hAnsi="宋体"/>
                <w:color w:val="000000"/>
                <w:sz w:val="22"/>
                <w:szCs w:val="22"/>
                <w:lang w:bidi="en-US"/>
              </w:rPr>
              <w:t>（2）根据安全配置核查或安全漏洞扫描的结果，对安全设备开展安全整改加固，协助完成网络设备安全加固；</w:t>
            </w:r>
          </w:p>
          <w:p w14:paraId="4F59AD7F">
            <w:pPr>
              <w:widowControl/>
              <w:jc w:val="left"/>
              <w:rPr>
                <w:rFonts w:hint="eastAsia" w:ascii="宋体" w:hAnsi="宋体"/>
                <w:color w:val="000000"/>
                <w:sz w:val="22"/>
                <w:szCs w:val="22"/>
              </w:rPr>
            </w:pPr>
            <w:r>
              <w:rPr>
                <w:rFonts w:ascii="宋体" w:hAnsi="宋体"/>
                <w:color w:val="000000"/>
                <w:sz w:val="22"/>
                <w:szCs w:val="22"/>
                <w:lang w:bidi="en-US"/>
              </w:rPr>
              <w:t>（3）安全设备故障处理与应急事件配合处理；</w:t>
            </w:r>
          </w:p>
        </w:tc>
      </w:tr>
      <w:tr w14:paraId="51DCC79F">
        <w:tblPrEx>
          <w:tblCellMar>
            <w:top w:w="0" w:type="dxa"/>
            <w:left w:w="108" w:type="dxa"/>
            <w:bottom w:w="0" w:type="dxa"/>
            <w:right w:w="108" w:type="dxa"/>
          </w:tblCellMar>
        </w:tblPrEx>
        <w:trPr>
          <w:trHeight w:val="576" w:hRule="atLeast"/>
        </w:trPr>
        <w:tc>
          <w:tcPr>
            <w:tcW w:w="1404" w:type="dxa"/>
            <w:vMerge w:val="continue"/>
            <w:tcBorders>
              <w:left w:val="single" w:color="000000" w:sz="4" w:space="0"/>
              <w:right w:val="single" w:color="000000" w:sz="4" w:space="0"/>
            </w:tcBorders>
            <w:vAlign w:val="center"/>
          </w:tcPr>
          <w:p w14:paraId="45EFFEC3">
            <w:pPr>
              <w:jc w:val="center"/>
              <w:rPr>
                <w:rFonts w:hint="eastAsia" w:ascii="宋体" w:hAnsi="宋体"/>
                <w:color w:val="000000"/>
                <w:sz w:val="22"/>
                <w:szCs w:val="22"/>
              </w:rPr>
            </w:pPr>
          </w:p>
        </w:tc>
        <w:tc>
          <w:tcPr>
            <w:tcW w:w="1501" w:type="dxa"/>
            <w:tcBorders>
              <w:top w:val="single" w:color="000000" w:sz="4" w:space="0"/>
              <w:left w:val="single" w:color="000000" w:sz="4" w:space="0"/>
              <w:bottom w:val="single" w:color="000000" w:sz="4" w:space="0"/>
              <w:right w:val="single" w:color="000000" w:sz="4" w:space="0"/>
            </w:tcBorders>
            <w:vAlign w:val="center"/>
          </w:tcPr>
          <w:p w14:paraId="230D46C6">
            <w:pPr>
              <w:widowControl/>
              <w:jc w:val="center"/>
              <w:rPr>
                <w:rFonts w:hint="eastAsia" w:ascii="宋体" w:hAnsi="宋体"/>
                <w:color w:val="000000"/>
                <w:sz w:val="22"/>
                <w:szCs w:val="22"/>
              </w:rPr>
            </w:pPr>
            <w:r>
              <w:rPr>
                <w:rFonts w:ascii="宋体" w:hAnsi="宋体"/>
                <w:color w:val="000000"/>
                <w:sz w:val="22"/>
                <w:szCs w:val="22"/>
                <w:lang w:bidi="en-US"/>
              </w:rPr>
              <w:t>4.安全监测优化服务</w:t>
            </w:r>
          </w:p>
        </w:tc>
        <w:tc>
          <w:tcPr>
            <w:tcW w:w="6444" w:type="dxa"/>
            <w:tcBorders>
              <w:top w:val="single" w:color="000000" w:sz="4" w:space="0"/>
              <w:left w:val="single" w:color="000000" w:sz="4" w:space="0"/>
              <w:bottom w:val="single" w:color="000000" w:sz="4" w:space="0"/>
              <w:right w:val="single" w:color="000000" w:sz="4" w:space="0"/>
            </w:tcBorders>
            <w:vAlign w:val="center"/>
          </w:tcPr>
          <w:p w14:paraId="4F60DBCB">
            <w:pPr>
              <w:widowControl/>
              <w:jc w:val="left"/>
              <w:rPr>
                <w:rFonts w:hint="eastAsia" w:ascii="宋体" w:hAnsi="宋体"/>
                <w:color w:val="000000"/>
                <w:sz w:val="22"/>
                <w:szCs w:val="22"/>
              </w:rPr>
            </w:pPr>
            <w:r>
              <w:rPr>
                <w:rFonts w:ascii="宋体" w:hAnsi="宋体"/>
                <w:color w:val="000000"/>
                <w:sz w:val="22"/>
                <w:szCs w:val="22"/>
                <w:lang w:bidi="en-US"/>
              </w:rPr>
              <w:t>针对现网提出安全运营建议，提供日常安全监控标准、告警监测处置标准、网络安全架构优化、安全策略调优、安全事件分析到处置闭环等优化建议。</w:t>
            </w:r>
          </w:p>
        </w:tc>
      </w:tr>
      <w:tr w14:paraId="4234AC53">
        <w:tblPrEx>
          <w:tblCellMar>
            <w:top w:w="0" w:type="dxa"/>
            <w:left w:w="108" w:type="dxa"/>
            <w:bottom w:w="0" w:type="dxa"/>
            <w:right w:w="108" w:type="dxa"/>
          </w:tblCellMar>
        </w:tblPrEx>
        <w:trPr>
          <w:trHeight w:val="864" w:hRule="atLeast"/>
        </w:trPr>
        <w:tc>
          <w:tcPr>
            <w:tcW w:w="1404" w:type="dxa"/>
            <w:vMerge w:val="continue"/>
            <w:tcBorders>
              <w:left w:val="single" w:color="000000" w:sz="4" w:space="0"/>
              <w:right w:val="single" w:color="000000" w:sz="4" w:space="0"/>
            </w:tcBorders>
            <w:vAlign w:val="center"/>
          </w:tcPr>
          <w:p w14:paraId="1DE3068A">
            <w:pPr>
              <w:jc w:val="center"/>
              <w:rPr>
                <w:rFonts w:hint="eastAsia" w:ascii="宋体" w:hAnsi="宋体"/>
                <w:color w:val="000000"/>
                <w:sz w:val="22"/>
                <w:szCs w:val="22"/>
              </w:rPr>
            </w:pPr>
          </w:p>
        </w:tc>
        <w:tc>
          <w:tcPr>
            <w:tcW w:w="1501" w:type="dxa"/>
            <w:tcBorders>
              <w:top w:val="single" w:color="000000" w:sz="4" w:space="0"/>
              <w:left w:val="single" w:color="000000" w:sz="4" w:space="0"/>
              <w:bottom w:val="single" w:color="000000" w:sz="4" w:space="0"/>
              <w:right w:val="single" w:color="000000" w:sz="4" w:space="0"/>
            </w:tcBorders>
            <w:vAlign w:val="center"/>
          </w:tcPr>
          <w:p w14:paraId="297EA590">
            <w:pPr>
              <w:widowControl/>
              <w:jc w:val="center"/>
              <w:rPr>
                <w:rFonts w:hint="eastAsia" w:ascii="宋体" w:hAnsi="宋体"/>
                <w:color w:val="000000"/>
                <w:sz w:val="22"/>
                <w:szCs w:val="22"/>
              </w:rPr>
            </w:pPr>
            <w:r>
              <w:rPr>
                <w:rFonts w:ascii="宋体" w:hAnsi="宋体"/>
                <w:color w:val="000000"/>
                <w:sz w:val="22"/>
                <w:szCs w:val="22"/>
                <w:lang w:bidi="en-US"/>
              </w:rPr>
              <w:t>5.安全漏洞扫描与管理</w:t>
            </w:r>
          </w:p>
        </w:tc>
        <w:tc>
          <w:tcPr>
            <w:tcW w:w="6444" w:type="dxa"/>
            <w:tcBorders>
              <w:top w:val="single" w:color="000000" w:sz="4" w:space="0"/>
              <w:left w:val="single" w:color="000000" w:sz="4" w:space="0"/>
              <w:bottom w:val="single" w:color="000000" w:sz="4" w:space="0"/>
              <w:right w:val="single" w:color="000000" w:sz="4" w:space="0"/>
            </w:tcBorders>
            <w:vAlign w:val="center"/>
          </w:tcPr>
          <w:p w14:paraId="7AA25F73">
            <w:pPr>
              <w:widowControl/>
              <w:jc w:val="left"/>
              <w:rPr>
                <w:rFonts w:hint="eastAsia" w:ascii="宋体" w:hAnsi="宋体"/>
                <w:color w:val="000000"/>
                <w:sz w:val="22"/>
                <w:szCs w:val="22"/>
              </w:rPr>
            </w:pPr>
            <w:r>
              <w:rPr>
                <w:rFonts w:ascii="宋体" w:hAnsi="宋体"/>
                <w:color w:val="000000"/>
                <w:sz w:val="22"/>
                <w:szCs w:val="22"/>
                <w:lang w:bidi="en-US"/>
              </w:rPr>
              <w:t>基于安全监测、漏洞扫描、渗透测试、安全通报、第三方测评、迎检等发现的漏洞来源，针对现网环境进行复测确认威胁，下发网络安全整改通知书，提出安全加固建议，并监督闭环。</w:t>
            </w:r>
          </w:p>
        </w:tc>
      </w:tr>
      <w:tr w14:paraId="5F481BE2">
        <w:tblPrEx>
          <w:tblCellMar>
            <w:top w:w="0" w:type="dxa"/>
            <w:left w:w="108" w:type="dxa"/>
            <w:bottom w:w="0" w:type="dxa"/>
            <w:right w:w="108" w:type="dxa"/>
          </w:tblCellMar>
        </w:tblPrEx>
        <w:trPr>
          <w:trHeight w:val="576" w:hRule="atLeast"/>
        </w:trPr>
        <w:tc>
          <w:tcPr>
            <w:tcW w:w="1404" w:type="dxa"/>
            <w:vMerge w:val="continue"/>
            <w:tcBorders>
              <w:left w:val="single" w:color="000000" w:sz="4" w:space="0"/>
              <w:right w:val="single" w:color="000000" w:sz="4" w:space="0"/>
            </w:tcBorders>
            <w:vAlign w:val="center"/>
          </w:tcPr>
          <w:p w14:paraId="79C3B534">
            <w:pPr>
              <w:jc w:val="center"/>
              <w:rPr>
                <w:rFonts w:hint="eastAsia" w:ascii="宋体" w:hAnsi="宋体"/>
                <w:color w:val="000000"/>
                <w:sz w:val="22"/>
                <w:szCs w:val="22"/>
              </w:rPr>
            </w:pPr>
          </w:p>
        </w:tc>
        <w:tc>
          <w:tcPr>
            <w:tcW w:w="1501" w:type="dxa"/>
            <w:tcBorders>
              <w:top w:val="single" w:color="000000" w:sz="4" w:space="0"/>
              <w:left w:val="single" w:color="000000" w:sz="4" w:space="0"/>
              <w:bottom w:val="single" w:color="000000" w:sz="4" w:space="0"/>
              <w:right w:val="single" w:color="000000" w:sz="4" w:space="0"/>
            </w:tcBorders>
            <w:vAlign w:val="center"/>
          </w:tcPr>
          <w:p w14:paraId="640B8FEA">
            <w:pPr>
              <w:widowControl/>
              <w:jc w:val="center"/>
              <w:rPr>
                <w:rFonts w:hint="eastAsia" w:ascii="宋体" w:hAnsi="宋体"/>
                <w:color w:val="000000"/>
                <w:sz w:val="22"/>
                <w:szCs w:val="22"/>
              </w:rPr>
            </w:pPr>
            <w:r>
              <w:rPr>
                <w:rFonts w:ascii="宋体" w:hAnsi="宋体"/>
                <w:color w:val="000000"/>
                <w:sz w:val="22"/>
                <w:szCs w:val="22"/>
                <w:lang w:bidi="en-US"/>
              </w:rPr>
              <w:t>6.渗透测试</w:t>
            </w:r>
          </w:p>
        </w:tc>
        <w:tc>
          <w:tcPr>
            <w:tcW w:w="6444" w:type="dxa"/>
            <w:tcBorders>
              <w:top w:val="single" w:color="000000" w:sz="4" w:space="0"/>
              <w:left w:val="single" w:color="000000" w:sz="4" w:space="0"/>
              <w:bottom w:val="single" w:color="000000" w:sz="4" w:space="0"/>
              <w:right w:val="single" w:color="000000" w:sz="4" w:space="0"/>
            </w:tcBorders>
            <w:vAlign w:val="center"/>
          </w:tcPr>
          <w:p w14:paraId="2A9CDFF2">
            <w:pPr>
              <w:widowControl/>
              <w:jc w:val="left"/>
              <w:rPr>
                <w:rFonts w:hint="eastAsia" w:ascii="宋体" w:hAnsi="宋体"/>
                <w:color w:val="000000"/>
                <w:sz w:val="22"/>
                <w:szCs w:val="22"/>
              </w:rPr>
            </w:pPr>
            <w:r>
              <w:rPr>
                <w:rFonts w:ascii="宋体" w:hAnsi="宋体"/>
                <w:color w:val="000000"/>
                <w:sz w:val="22"/>
                <w:szCs w:val="22"/>
                <w:lang w:bidi="en-US"/>
              </w:rPr>
              <w:t>通过模拟黑客行为进行渗透测试，发现应用系统存在的深度安全漏洞，验证安全防护体系的有效性。</w:t>
            </w:r>
          </w:p>
        </w:tc>
      </w:tr>
      <w:tr w14:paraId="512E0447">
        <w:tblPrEx>
          <w:tblCellMar>
            <w:top w:w="0" w:type="dxa"/>
            <w:left w:w="108" w:type="dxa"/>
            <w:bottom w:w="0" w:type="dxa"/>
            <w:right w:w="108" w:type="dxa"/>
          </w:tblCellMar>
        </w:tblPrEx>
        <w:trPr>
          <w:trHeight w:val="864" w:hRule="atLeast"/>
        </w:trPr>
        <w:tc>
          <w:tcPr>
            <w:tcW w:w="1404" w:type="dxa"/>
            <w:vMerge w:val="continue"/>
            <w:tcBorders>
              <w:left w:val="single" w:color="000000" w:sz="4" w:space="0"/>
              <w:right w:val="single" w:color="000000" w:sz="4" w:space="0"/>
            </w:tcBorders>
            <w:vAlign w:val="center"/>
          </w:tcPr>
          <w:p w14:paraId="6C628630">
            <w:pPr>
              <w:jc w:val="center"/>
              <w:rPr>
                <w:rFonts w:hint="eastAsia" w:ascii="宋体" w:hAnsi="宋体"/>
                <w:color w:val="000000"/>
                <w:sz w:val="22"/>
                <w:szCs w:val="22"/>
              </w:rPr>
            </w:pPr>
          </w:p>
        </w:tc>
        <w:tc>
          <w:tcPr>
            <w:tcW w:w="1501" w:type="dxa"/>
            <w:tcBorders>
              <w:top w:val="single" w:color="000000" w:sz="4" w:space="0"/>
              <w:left w:val="single" w:color="000000" w:sz="4" w:space="0"/>
              <w:bottom w:val="single" w:color="000000" w:sz="4" w:space="0"/>
              <w:right w:val="single" w:color="000000" w:sz="4" w:space="0"/>
            </w:tcBorders>
            <w:vAlign w:val="center"/>
          </w:tcPr>
          <w:p w14:paraId="1AC2DE85">
            <w:pPr>
              <w:widowControl/>
              <w:jc w:val="center"/>
              <w:rPr>
                <w:rFonts w:hint="eastAsia" w:ascii="宋体" w:hAnsi="宋体"/>
                <w:color w:val="000000"/>
                <w:sz w:val="22"/>
                <w:szCs w:val="22"/>
              </w:rPr>
            </w:pPr>
            <w:r>
              <w:rPr>
                <w:rFonts w:ascii="宋体" w:hAnsi="宋体"/>
                <w:color w:val="000000"/>
                <w:sz w:val="22"/>
                <w:szCs w:val="22"/>
                <w:lang w:bidi="en-US"/>
              </w:rPr>
              <w:t>7.入网安全评测</w:t>
            </w:r>
          </w:p>
        </w:tc>
        <w:tc>
          <w:tcPr>
            <w:tcW w:w="6444" w:type="dxa"/>
            <w:tcBorders>
              <w:top w:val="single" w:color="000000" w:sz="4" w:space="0"/>
              <w:left w:val="single" w:color="000000" w:sz="4" w:space="0"/>
              <w:bottom w:val="single" w:color="000000" w:sz="4" w:space="0"/>
              <w:right w:val="single" w:color="000000" w:sz="4" w:space="0"/>
            </w:tcBorders>
            <w:vAlign w:val="center"/>
          </w:tcPr>
          <w:p w14:paraId="40DF4A31">
            <w:pPr>
              <w:widowControl/>
              <w:jc w:val="left"/>
              <w:rPr>
                <w:rFonts w:hint="eastAsia" w:ascii="宋体" w:hAnsi="宋体"/>
                <w:color w:val="000000"/>
                <w:sz w:val="22"/>
                <w:szCs w:val="22"/>
              </w:rPr>
            </w:pPr>
            <w:r>
              <w:rPr>
                <w:rFonts w:ascii="宋体" w:hAnsi="宋体"/>
                <w:color w:val="000000"/>
                <w:sz w:val="22"/>
                <w:szCs w:val="22"/>
                <w:lang w:bidi="en-US"/>
              </w:rPr>
              <w:t>对新信息系统上线和发生变更的信息系统进行安全测评，提出每个组件的安全要求，为系统</w:t>
            </w:r>
            <w:r>
              <w:rPr>
                <w:rStyle w:val="241"/>
                <w:lang w:bidi="en-US"/>
              </w:rPr>
              <w:t>是否能够上线运行提供安全检测依据，并监督供应商整改闭环，内容包括但不仅限于基线检查、渗透测试、漏洞扫描。</w:t>
            </w:r>
          </w:p>
        </w:tc>
      </w:tr>
      <w:tr w14:paraId="488CDCF2">
        <w:tblPrEx>
          <w:tblCellMar>
            <w:top w:w="0" w:type="dxa"/>
            <w:left w:w="108" w:type="dxa"/>
            <w:bottom w:w="0" w:type="dxa"/>
            <w:right w:w="108" w:type="dxa"/>
          </w:tblCellMar>
        </w:tblPrEx>
        <w:trPr>
          <w:trHeight w:val="1152" w:hRule="atLeast"/>
        </w:trPr>
        <w:tc>
          <w:tcPr>
            <w:tcW w:w="1404" w:type="dxa"/>
            <w:vMerge w:val="continue"/>
            <w:tcBorders>
              <w:left w:val="single" w:color="000000" w:sz="4" w:space="0"/>
              <w:right w:val="single" w:color="000000" w:sz="4" w:space="0"/>
            </w:tcBorders>
            <w:vAlign w:val="center"/>
          </w:tcPr>
          <w:p w14:paraId="6D6706C2">
            <w:pPr>
              <w:jc w:val="center"/>
              <w:rPr>
                <w:rFonts w:hint="eastAsia" w:ascii="宋体" w:hAnsi="宋体"/>
                <w:color w:val="000000"/>
                <w:sz w:val="22"/>
                <w:szCs w:val="22"/>
              </w:rPr>
            </w:pPr>
          </w:p>
        </w:tc>
        <w:tc>
          <w:tcPr>
            <w:tcW w:w="1501" w:type="dxa"/>
            <w:tcBorders>
              <w:top w:val="single" w:color="000000" w:sz="4" w:space="0"/>
              <w:left w:val="single" w:color="000000" w:sz="4" w:space="0"/>
              <w:bottom w:val="single" w:color="000000" w:sz="4" w:space="0"/>
              <w:right w:val="single" w:color="000000" w:sz="4" w:space="0"/>
            </w:tcBorders>
            <w:vAlign w:val="center"/>
          </w:tcPr>
          <w:p w14:paraId="247B410E">
            <w:pPr>
              <w:widowControl/>
              <w:jc w:val="center"/>
              <w:rPr>
                <w:rFonts w:hint="eastAsia" w:ascii="宋体" w:hAnsi="宋体"/>
                <w:color w:val="000000"/>
                <w:sz w:val="22"/>
                <w:szCs w:val="22"/>
              </w:rPr>
            </w:pPr>
            <w:r>
              <w:rPr>
                <w:rFonts w:ascii="宋体" w:hAnsi="宋体"/>
                <w:color w:val="000000"/>
                <w:sz w:val="22"/>
                <w:szCs w:val="22"/>
                <w:lang w:bidi="en-US"/>
              </w:rPr>
              <w:t>8.安全通报</w:t>
            </w:r>
          </w:p>
        </w:tc>
        <w:tc>
          <w:tcPr>
            <w:tcW w:w="6444" w:type="dxa"/>
            <w:tcBorders>
              <w:top w:val="single" w:color="000000" w:sz="4" w:space="0"/>
              <w:left w:val="single" w:color="000000" w:sz="4" w:space="0"/>
              <w:bottom w:val="single" w:color="000000" w:sz="4" w:space="0"/>
              <w:right w:val="single" w:color="000000" w:sz="4" w:space="0"/>
            </w:tcBorders>
            <w:vAlign w:val="center"/>
          </w:tcPr>
          <w:p w14:paraId="277B843D">
            <w:pPr>
              <w:widowControl/>
              <w:jc w:val="left"/>
              <w:rPr>
                <w:rFonts w:hint="eastAsia" w:ascii="宋体" w:hAnsi="宋体"/>
                <w:color w:val="000000"/>
                <w:sz w:val="22"/>
                <w:szCs w:val="22"/>
              </w:rPr>
            </w:pPr>
            <w:r>
              <w:rPr>
                <w:rFonts w:ascii="宋体" w:hAnsi="宋体"/>
                <w:color w:val="000000"/>
                <w:sz w:val="22"/>
                <w:szCs w:val="22"/>
                <w:lang w:bidi="en-US"/>
              </w:rPr>
              <w:t>收集整理网络安全相关信息，提供高级威胁情报、漏洞威胁分析研判、信息录入与维护等日常维护与支持服务。针对所有网络安全事件、网络安全威胁、网络安全漏洞及其他可能影响采购人网络安全的情况等，设计安全风险预警通报流程，并协助采购人对安全事件进行监督闭环。</w:t>
            </w:r>
          </w:p>
        </w:tc>
      </w:tr>
      <w:tr w14:paraId="5EE6B93C">
        <w:tblPrEx>
          <w:tblCellMar>
            <w:top w:w="0" w:type="dxa"/>
            <w:left w:w="108" w:type="dxa"/>
            <w:bottom w:w="0" w:type="dxa"/>
            <w:right w:w="108" w:type="dxa"/>
          </w:tblCellMar>
        </w:tblPrEx>
        <w:trPr>
          <w:trHeight w:val="1152" w:hRule="atLeast"/>
        </w:trPr>
        <w:tc>
          <w:tcPr>
            <w:tcW w:w="1404" w:type="dxa"/>
            <w:vMerge w:val="continue"/>
            <w:tcBorders>
              <w:left w:val="single" w:color="000000" w:sz="4" w:space="0"/>
              <w:right w:val="single" w:color="000000" w:sz="4" w:space="0"/>
            </w:tcBorders>
            <w:vAlign w:val="center"/>
          </w:tcPr>
          <w:p w14:paraId="5F050003">
            <w:pPr>
              <w:jc w:val="center"/>
              <w:rPr>
                <w:rFonts w:hint="eastAsia" w:ascii="宋体" w:hAnsi="宋体"/>
                <w:color w:val="000000"/>
                <w:sz w:val="22"/>
                <w:szCs w:val="22"/>
              </w:rPr>
            </w:pPr>
          </w:p>
        </w:tc>
        <w:tc>
          <w:tcPr>
            <w:tcW w:w="1501" w:type="dxa"/>
            <w:tcBorders>
              <w:top w:val="single" w:color="000000" w:sz="4" w:space="0"/>
              <w:left w:val="single" w:color="000000" w:sz="4" w:space="0"/>
              <w:bottom w:val="single" w:color="000000" w:sz="4" w:space="0"/>
              <w:right w:val="single" w:color="000000" w:sz="4" w:space="0"/>
            </w:tcBorders>
            <w:vAlign w:val="center"/>
          </w:tcPr>
          <w:p w14:paraId="5DDE5399">
            <w:pPr>
              <w:widowControl/>
              <w:jc w:val="center"/>
              <w:rPr>
                <w:rFonts w:hint="eastAsia" w:ascii="宋体" w:hAnsi="宋体"/>
                <w:color w:val="000000"/>
                <w:sz w:val="22"/>
                <w:szCs w:val="22"/>
                <w:lang w:bidi="en-US"/>
              </w:rPr>
            </w:pPr>
            <w:r>
              <w:rPr>
                <w:rFonts w:ascii="宋体" w:hAnsi="宋体"/>
                <w:color w:val="000000"/>
                <w:sz w:val="22"/>
                <w:szCs w:val="22"/>
                <w:lang w:bidi="en-US"/>
              </w:rPr>
              <w:t>9．等保年审配合</w:t>
            </w:r>
          </w:p>
        </w:tc>
        <w:tc>
          <w:tcPr>
            <w:tcW w:w="6444" w:type="dxa"/>
            <w:tcBorders>
              <w:top w:val="single" w:color="000000" w:sz="4" w:space="0"/>
              <w:left w:val="single" w:color="000000" w:sz="4" w:space="0"/>
              <w:bottom w:val="single" w:color="000000" w:sz="4" w:space="0"/>
              <w:right w:val="single" w:color="000000" w:sz="4" w:space="0"/>
            </w:tcBorders>
            <w:vAlign w:val="center"/>
          </w:tcPr>
          <w:p w14:paraId="3539ECA0">
            <w:pPr>
              <w:widowControl/>
              <w:jc w:val="left"/>
              <w:rPr>
                <w:rFonts w:hint="eastAsia" w:ascii="宋体" w:hAnsi="宋体"/>
                <w:color w:val="000000"/>
                <w:sz w:val="22"/>
                <w:szCs w:val="22"/>
                <w:lang w:bidi="en-US"/>
              </w:rPr>
            </w:pPr>
            <w:r>
              <w:rPr>
                <w:rFonts w:ascii="宋体" w:hAnsi="宋体"/>
                <w:color w:val="000000"/>
                <w:sz w:val="22"/>
                <w:szCs w:val="22"/>
                <w:lang w:bidi="en-US"/>
              </w:rPr>
              <w:t>配合现网已定级的系统开展完成年度等级保护测评工作</w:t>
            </w:r>
            <w:r>
              <w:rPr>
                <w:rFonts w:hint="eastAsia" w:ascii="宋体" w:hAnsi="宋体"/>
                <w:color w:val="000000"/>
                <w:sz w:val="22"/>
                <w:szCs w:val="22"/>
                <w:lang w:bidi="en-US"/>
              </w:rPr>
              <w:t>，</w:t>
            </w:r>
            <w:r>
              <w:rPr>
                <w:rFonts w:ascii="宋体" w:hAnsi="宋体"/>
                <w:color w:val="000000"/>
                <w:sz w:val="22"/>
                <w:szCs w:val="22"/>
                <w:lang w:bidi="en-US"/>
              </w:rPr>
              <w:t>配合现场检查、材料整理等工作。</w:t>
            </w:r>
          </w:p>
          <w:p w14:paraId="0A377A03">
            <w:pPr>
              <w:widowControl/>
              <w:jc w:val="left"/>
              <w:rPr>
                <w:rFonts w:hint="eastAsia" w:ascii="宋体" w:hAnsi="宋体"/>
                <w:color w:val="000000"/>
                <w:sz w:val="22"/>
                <w:szCs w:val="22"/>
                <w:lang w:bidi="en-US"/>
              </w:rPr>
            </w:pPr>
            <w:r>
              <w:rPr>
                <w:rFonts w:ascii="宋体" w:hAnsi="宋体"/>
                <w:color w:val="000000"/>
                <w:sz w:val="22"/>
                <w:szCs w:val="22"/>
                <w:lang w:bidi="en-US"/>
              </w:rPr>
              <w:t>（1）差距测评全程跟进，及时提供相关信息给测评机构填写调研报告</w:t>
            </w:r>
            <w:r>
              <w:rPr>
                <w:rFonts w:hint="eastAsia" w:ascii="宋体" w:hAnsi="宋体"/>
                <w:color w:val="000000"/>
                <w:sz w:val="22"/>
                <w:szCs w:val="22"/>
                <w:lang w:bidi="en-US"/>
              </w:rPr>
              <w:t>；</w:t>
            </w:r>
          </w:p>
          <w:p w14:paraId="0D508E4C">
            <w:pPr>
              <w:widowControl/>
              <w:jc w:val="left"/>
              <w:rPr>
                <w:rFonts w:hint="eastAsia" w:ascii="宋体" w:hAnsi="宋体"/>
                <w:color w:val="000000"/>
                <w:sz w:val="22"/>
                <w:szCs w:val="22"/>
                <w:lang w:bidi="en-US"/>
              </w:rPr>
            </w:pPr>
            <w:r>
              <w:rPr>
                <w:rFonts w:ascii="宋体" w:hAnsi="宋体"/>
                <w:color w:val="000000"/>
                <w:sz w:val="22"/>
                <w:szCs w:val="22"/>
                <w:lang w:bidi="en-US"/>
              </w:rPr>
              <w:t>（2）协助采购人对测评报告中不满足的地方及时整改或提供对应措施来降低风险</w:t>
            </w:r>
            <w:r>
              <w:rPr>
                <w:rFonts w:hint="eastAsia" w:ascii="宋体" w:hAnsi="宋体"/>
                <w:color w:val="000000"/>
                <w:sz w:val="22"/>
                <w:szCs w:val="22"/>
                <w:lang w:bidi="en-US"/>
              </w:rPr>
              <w:t>；</w:t>
            </w:r>
          </w:p>
          <w:p w14:paraId="666FBED7">
            <w:pPr>
              <w:widowControl/>
              <w:jc w:val="left"/>
              <w:rPr>
                <w:rFonts w:hint="eastAsia" w:ascii="宋体" w:hAnsi="宋体"/>
                <w:color w:val="000000"/>
                <w:sz w:val="22"/>
                <w:szCs w:val="22"/>
                <w:lang w:bidi="en-US"/>
              </w:rPr>
            </w:pPr>
            <w:r>
              <w:rPr>
                <w:rFonts w:ascii="宋体" w:hAnsi="宋体"/>
                <w:color w:val="000000"/>
                <w:sz w:val="22"/>
                <w:szCs w:val="22"/>
                <w:lang w:bidi="en-US"/>
              </w:rPr>
              <w:t>（3）验收测评全程跟进，回答测评机构问题处置情况</w:t>
            </w:r>
            <w:r>
              <w:rPr>
                <w:rFonts w:hint="eastAsia" w:ascii="宋体" w:hAnsi="宋体"/>
                <w:color w:val="000000"/>
                <w:sz w:val="22"/>
                <w:szCs w:val="22"/>
                <w:lang w:bidi="en-US"/>
              </w:rPr>
              <w:t>；</w:t>
            </w:r>
          </w:p>
          <w:p w14:paraId="67F93803">
            <w:pPr>
              <w:widowControl/>
              <w:jc w:val="left"/>
              <w:rPr>
                <w:rFonts w:hint="eastAsia" w:ascii="宋体" w:hAnsi="宋体"/>
                <w:color w:val="000000"/>
                <w:sz w:val="22"/>
                <w:szCs w:val="22"/>
                <w:lang w:bidi="en-US"/>
              </w:rPr>
            </w:pPr>
            <w:r>
              <w:rPr>
                <w:rFonts w:ascii="宋体" w:hAnsi="宋体"/>
                <w:color w:val="000000"/>
                <w:sz w:val="22"/>
                <w:szCs w:val="22"/>
                <w:lang w:bidi="en-US"/>
              </w:rPr>
              <w:t>（4）及时沟通协调等保测评对应系统运维</w:t>
            </w:r>
            <w:r>
              <w:rPr>
                <w:rFonts w:hint="eastAsia" w:ascii="宋体" w:hAnsi="宋体"/>
                <w:color w:val="000000"/>
                <w:sz w:val="22"/>
                <w:szCs w:val="22"/>
                <w:lang w:bidi="en-US"/>
              </w:rPr>
              <w:t>厂</w:t>
            </w:r>
            <w:r>
              <w:rPr>
                <w:rFonts w:ascii="宋体" w:hAnsi="宋体"/>
                <w:color w:val="000000"/>
                <w:sz w:val="22"/>
                <w:szCs w:val="22"/>
                <w:lang w:bidi="en-US"/>
              </w:rPr>
              <w:t>商，推进测评机构等保测评工作。</w:t>
            </w:r>
          </w:p>
        </w:tc>
      </w:tr>
      <w:tr w14:paraId="5000B400">
        <w:tblPrEx>
          <w:tblCellMar>
            <w:top w:w="0" w:type="dxa"/>
            <w:left w:w="108" w:type="dxa"/>
            <w:bottom w:w="0" w:type="dxa"/>
            <w:right w:w="108" w:type="dxa"/>
          </w:tblCellMar>
        </w:tblPrEx>
        <w:trPr>
          <w:trHeight w:val="1152" w:hRule="atLeast"/>
        </w:trPr>
        <w:tc>
          <w:tcPr>
            <w:tcW w:w="1404" w:type="dxa"/>
            <w:vMerge w:val="continue"/>
            <w:tcBorders>
              <w:left w:val="single" w:color="000000" w:sz="4" w:space="0"/>
              <w:right w:val="single" w:color="000000" w:sz="4" w:space="0"/>
            </w:tcBorders>
            <w:vAlign w:val="center"/>
          </w:tcPr>
          <w:p w14:paraId="545D0D16">
            <w:pPr>
              <w:jc w:val="center"/>
              <w:rPr>
                <w:rFonts w:hint="eastAsia" w:ascii="宋体" w:hAnsi="宋体"/>
                <w:color w:val="000000"/>
                <w:sz w:val="22"/>
                <w:szCs w:val="22"/>
              </w:rPr>
            </w:pPr>
          </w:p>
        </w:tc>
        <w:tc>
          <w:tcPr>
            <w:tcW w:w="1501" w:type="dxa"/>
            <w:tcBorders>
              <w:top w:val="single" w:color="000000" w:sz="4" w:space="0"/>
              <w:left w:val="single" w:color="000000" w:sz="4" w:space="0"/>
              <w:bottom w:val="single" w:color="000000" w:sz="4" w:space="0"/>
              <w:right w:val="single" w:color="000000" w:sz="4" w:space="0"/>
            </w:tcBorders>
            <w:vAlign w:val="center"/>
          </w:tcPr>
          <w:p w14:paraId="10CBDA1D">
            <w:pPr>
              <w:widowControl/>
              <w:jc w:val="center"/>
              <w:rPr>
                <w:rFonts w:hint="eastAsia" w:ascii="宋体" w:hAnsi="宋体"/>
                <w:color w:val="000000"/>
                <w:sz w:val="22"/>
                <w:szCs w:val="22"/>
                <w:lang w:bidi="en-US"/>
              </w:rPr>
            </w:pPr>
            <w:r>
              <w:rPr>
                <w:rFonts w:ascii="宋体" w:hAnsi="宋体"/>
                <w:color w:val="000000"/>
                <w:sz w:val="22"/>
                <w:szCs w:val="22"/>
                <w:lang w:bidi="en-US"/>
              </w:rPr>
              <w:t>10.互联网敏感信息泄露排查</w:t>
            </w:r>
          </w:p>
        </w:tc>
        <w:tc>
          <w:tcPr>
            <w:tcW w:w="6444" w:type="dxa"/>
            <w:tcBorders>
              <w:top w:val="single" w:color="000000" w:sz="4" w:space="0"/>
              <w:left w:val="single" w:color="000000" w:sz="4" w:space="0"/>
              <w:bottom w:val="single" w:color="000000" w:sz="4" w:space="0"/>
              <w:right w:val="single" w:color="000000" w:sz="4" w:space="0"/>
            </w:tcBorders>
            <w:vAlign w:val="center"/>
          </w:tcPr>
          <w:p w14:paraId="777B4B32">
            <w:pPr>
              <w:widowControl/>
              <w:jc w:val="left"/>
              <w:rPr>
                <w:rFonts w:hint="eastAsia" w:ascii="宋体" w:hAnsi="宋体"/>
                <w:color w:val="000000"/>
                <w:sz w:val="22"/>
                <w:szCs w:val="22"/>
                <w:lang w:bidi="en-US"/>
              </w:rPr>
            </w:pPr>
            <w:r>
              <w:rPr>
                <w:rFonts w:ascii="宋体" w:hAnsi="宋体"/>
                <w:color w:val="000000"/>
                <w:sz w:val="22"/>
                <w:szCs w:val="22"/>
                <w:lang w:bidi="en-US"/>
              </w:rPr>
              <w:t>通过搜索引擎、资产探测以及互联网共享平台搜索功能搜索采购方的有关信息，排查采购方是否存在敏感信息、不良信息、敏感端口等，是否存在系统代码、网</w:t>
            </w:r>
            <w:bookmarkStart w:id="6" w:name="_GoBack"/>
            <w:bookmarkEnd w:id="6"/>
            <w:r>
              <w:rPr>
                <w:rFonts w:ascii="宋体" w:hAnsi="宋体"/>
                <w:color w:val="000000"/>
                <w:sz w:val="22"/>
                <w:szCs w:val="22"/>
                <w:lang w:bidi="en-US"/>
              </w:rPr>
              <w:t>站信息泄露。</w:t>
            </w:r>
          </w:p>
        </w:tc>
      </w:tr>
      <w:tr w14:paraId="343E193E">
        <w:tblPrEx>
          <w:tblCellMar>
            <w:top w:w="0" w:type="dxa"/>
            <w:left w:w="108" w:type="dxa"/>
            <w:bottom w:w="0" w:type="dxa"/>
            <w:right w:w="108" w:type="dxa"/>
          </w:tblCellMar>
        </w:tblPrEx>
        <w:trPr>
          <w:trHeight w:val="1550" w:hRule="atLeast"/>
        </w:trPr>
        <w:tc>
          <w:tcPr>
            <w:tcW w:w="1404" w:type="dxa"/>
            <w:vMerge w:val="continue"/>
            <w:tcBorders>
              <w:left w:val="single" w:color="000000" w:sz="4" w:space="0"/>
              <w:right w:val="single" w:color="000000" w:sz="4" w:space="0"/>
            </w:tcBorders>
            <w:vAlign w:val="center"/>
          </w:tcPr>
          <w:p w14:paraId="46064123">
            <w:pPr>
              <w:jc w:val="center"/>
              <w:rPr>
                <w:rFonts w:hint="eastAsia" w:ascii="宋体" w:hAnsi="宋体"/>
                <w:color w:val="000000"/>
                <w:sz w:val="22"/>
                <w:szCs w:val="22"/>
              </w:rPr>
            </w:pPr>
          </w:p>
        </w:tc>
        <w:tc>
          <w:tcPr>
            <w:tcW w:w="1501" w:type="dxa"/>
            <w:tcBorders>
              <w:top w:val="single" w:color="000000" w:sz="4" w:space="0"/>
              <w:left w:val="single" w:color="000000" w:sz="4" w:space="0"/>
              <w:bottom w:val="single" w:color="000000" w:sz="4" w:space="0"/>
              <w:right w:val="single" w:color="000000" w:sz="4" w:space="0"/>
            </w:tcBorders>
            <w:vAlign w:val="center"/>
          </w:tcPr>
          <w:p w14:paraId="78FDAD15">
            <w:pPr>
              <w:widowControl/>
              <w:jc w:val="center"/>
              <w:rPr>
                <w:rFonts w:hint="eastAsia" w:ascii="宋体" w:hAnsi="宋体"/>
                <w:color w:val="000000"/>
                <w:sz w:val="22"/>
                <w:szCs w:val="22"/>
                <w:lang w:bidi="en-US"/>
              </w:rPr>
            </w:pPr>
            <w:r>
              <w:rPr>
                <w:rFonts w:ascii="宋体" w:hAnsi="宋体"/>
                <w:color w:val="000000"/>
                <w:sz w:val="22"/>
                <w:szCs w:val="22"/>
                <w:lang w:bidi="en-US"/>
              </w:rPr>
              <w:t>11.技术体系有效性验证</w:t>
            </w:r>
          </w:p>
        </w:tc>
        <w:tc>
          <w:tcPr>
            <w:tcW w:w="6444" w:type="dxa"/>
            <w:tcBorders>
              <w:top w:val="single" w:color="000000" w:sz="4" w:space="0"/>
              <w:left w:val="single" w:color="000000" w:sz="4" w:space="0"/>
              <w:bottom w:val="single" w:color="000000" w:sz="4" w:space="0"/>
              <w:right w:val="single" w:color="000000" w:sz="4" w:space="0"/>
            </w:tcBorders>
            <w:vAlign w:val="center"/>
          </w:tcPr>
          <w:p w14:paraId="36E608DF">
            <w:pPr>
              <w:widowControl/>
              <w:jc w:val="left"/>
              <w:rPr>
                <w:rFonts w:hint="eastAsia" w:ascii="宋体" w:hAnsi="宋体"/>
                <w:color w:val="000000"/>
                <w:sz w:val="22"/>
                <w:szCs w:val="22"/>
                <w:lang w:bidi="en-US"/>
              </w:rPr>
            </w:pPr>
            <w:r>
              <w:rPr>
                <w:rFonts w:ascii="宋体" w:hAnsi="宋体"/>
                <w:color w:val="000000"/>
                <w:sz w:val="22"/>
                <w:szCs w:val="22"/>
                <w:lang w:bidi="en-US"/>
              </w:rPr>
              <w:t>对现网部署的安全设备的策略配置与日常监测指标进行有效性验证与审计：</w:t>
            </w:r>
          </w:p>
          <w:p w14:paraId="31EF31CC">
            <w:pPr>
              <w:widowControl/>
              <w:jc w:val="left"/>
              <w:rPr>
                <w:rFonts w:hint="eastAsia" w:ascii="宋体" w:hAnsi="宋体"/>
                <w:color w:val="000000"/>
                <w:sz w:val="22"/>
                <w:szCs w:val="22"/>
                <w:lang w:bidi="en-US"/>
              </w:rPr>
            </w:pPr>
            <w:r>
              <w:rPr>
                <w:rFonts w:ascii="宋体" w:hAnsi="宋体"/>
                <w:color w:val="000000"/>
                <w:sz w:val="22"/>
                <w:szCs w:val="22"/>
                <w:lang w:bidi="en-US"/>
              </w:rPr>
              <w:t>（1）建立常态化安全策略健康检查机制，详实记录策略执行日志，针对策略冲突、失效等问题进行优化，确保安全策略持续有效运行</w:t>
            </w:r>
            <w:r>
              <w:rPr>
                <w:rFonts w:hint="eastAsia" w:ascii="宋体" w:hAnsi="宋体"/>
                <w:color w:val="000000"/>
                <w:sz w:val="22"/>
                <w:szCs w:val="22"/>
                <w:lang w:bidi="en-US"/>
              </w:rPr>
              <w:t>；</w:t>
            </w:r>
          </w:p>
          <w:p w14:paraId="40563055">
            <w:pPr>
              <w:widowControl/>
              <w:jc w:val="left"/>
              <w:rPr>
                <w:rFonts w:hint="eastAsia" w:ascii="宋体" w:hAnsi="宋体"/>
                <w:color w:val="000000"/>
                <w:sz w:val="22"/>
                <w:szCs w:val="22"/>
                <w:lang w:bidi="en-US"/>
              </w:rPr>
            </w:pPr>
            <w:r>
              <w:rPr>
                <w:rFonts w:ascii="宋体" w:hAnsi="宋体"/>
                <w:color w:val="000000"/>
                <w:sz w:val="22"/>
                <w:szCs w:val="22"/>
                <w:lang w:bidi="en-US"/>
              </w:rPr>
              <w:t>（2）构建全维度监测指标体系，对监测结果实施闭环审计，保障安全技术体系高效运行</w:t>
            </w:r>
            <w:r>
              <w:rPr>
                <w:rFonts w:hint="eastAsia" w:ascii="宋体" w:hAnsi="宋体"/>
                <w:color w:val="000000"/>
                <w:sz w:val="22"/>
                <w:szCs w:val="22"/>
                <w:lang w:bidi="en-US"/>
              </w:rPr>
              <w:t>；</w:t>
            </w:r>
          </w:p>
          <w:p w14:paraId="458902D2">
            <w:pPr>
              <w:pStyle w:val="12"/>
              <w:ind w:left="0" w:firstLine="0"/>
            </w:pPr>
            <w:r>
              <w:rPr>
                <w:rFonts w:ascii="宋体" w:hAnsi="宋体"/>
                <w:color w:val="000000"/>
                <w:sz w:val="22"/>
                <w:szCs w:val="22"/>
                <w:highlight w:val="none"/>
                <w:lang w:bidi="en-US"/>
              </w:rPr>
              <w:t>（3）为技术体系进行功能性审查工作，如重要安全设备日志记录与存放时长有效性检查，提供定期功能有效性巡检工作，保证安全技术体系高效运行。</w:t>
            </w:r>
          </w:p>
        </w:tc>
      </w:tr>
      <w:tr w14:paraId="7270B636">
        <w:tblPrEx>
          <w:tblCellMar>
            <w:top w:w="0" w:type="dxa"/>
            <w:left w:w="108" w:type="dxa"/>
            <w:bottom w:w="0" w:type="dxa"/>
            <w:right w:w="108" w:type="dxa"/>
          </w:tblCellMar>
        </w:tblPrEx>
        <w:trPr>
          <w:trHeight w:val="3420" w:hRule="atLeast"/>
        </w:trPr>
        <w:tc>
          <w:tcPr>
            <w:tcW w:w="1404" w:type="dxa"/>
            <w:vMerge w:val="continue"/>
            <w:tcBorders>
              <w:left w:val="single" w:color="000000" w:sz="4" w:space="0"/>
              <w:right w:val="single" w:color="000000" w:sz="4" w:space="0"/>
            </w:tcBorders>
            <w:vAlign w:val="center"/>
          </w:tcPr>
          <w:p w14:paraId="4D5B2907">
            <w:pPr>
              <w:jc w:val="center"/>
              <w:rPr>
                <w:rFonts w:hint="eastAsia" w:ascii="宋体" w:hAnsi="宋体"/>
                <w:color w:val="000000"/>
                <w:sz w:val="22"/>
                <w:szCs w:val="22"/>
              </w:rPr>
            </w:pPr>
          </w:p>
        </w:tc>
        <w:tc>
          <w:tcPr>
            <w:tcW w:w="1501" w:type="dxa"/>
            <w:tcBorders>
              <w:top w:val="single" w:color="000000" w:sz="4" w:space="0"/>
              <w:left w:val="single" w:color="000000" w:sz="4" w:space="0"/>
              <w:bottom w:val="single" w:color="000000" w:sz="4" w:space="0"/>
              <w:right w:val="single" w:color="000000" w:sz="4" w:space="0"/>
            </w:tcBorders>
            <w:vAlign w:val="center"/>
          </w:tcPr>
          <w:p w14:paraId="3D41D2A7">
            <w:pPr>
              <w:widowControl/>
              <w:jc w:val="center"/>
              <w:rPr>
                <w:rFonts w:hint="eastAsia" w:ascii="宋体" w:hAnsi="宋体"/>
                <w:color w:val="000000"/>
                <w:sz w:val="22"/>
                <w:szCs w:val="22"/>
                <w:lang w:bidi="en-US"/>
              </w:rPr>
            </w:pPr>
            <w:r>
              <w:rPr>
                <w:rFonts w:ascii="宋体" w:hAnsi="宋体"/>
                <w:color w:val="000000"/>
                <w:sz w:val="22"/>
                <w:szCs w:val="22"/>
                <w:lang w:bidi="en-US"/>
              </w:rPr>
              <w:t>12.</w:t>
            </w:r>
            <w:r>
              <w:rPr>
                <w:rFonts w:hint="eastAsia" w:ascii="宋体" w:hAnsi="宋体"/>
                <w:color w:val="000000"/>
                <w:sz w:val="22"/>
                <w:szCs w:val="22"/>
                <w:lang w:bidi="en-US"/>
              </w:rPr>
              <w:t>自适应技术</w:t>
            </w:r>
            <w:r>
              <w:rPr>
                <w:rFonts w:ascii="宋体" w:hAnsi="宋体"/>
                <w:color w:val="000000"/>
                <w:sz w:val="22"/>
                <w:szCs w:val="22"/>
                <w:lang w:bidi="en-US"/>
              </w:rPr>
              <w:t>体系优化</w:t>
            </w:r>
          </w:p>
        </w:tc>
        <w:tc>
          <w:tcPr>
            <w:tcW w:w="6444" w:type="dxa"/>
            <w:tcBorders>
              <w:top w:val="single" w:color="000000" w:sz="4" w:space="0"/>
              <w:left w:val="single" w:color="000000" w:sz="4" w:space="0"/>
              <w:bottom w:val="single" w:color="000000" w:sz="4" w:space="0"/>
              <w:right w:val="single" w:color="000000" w:sz="4" w:space="0"/>
            </w:tcBorders>
            <w:vAlign w:val="center"/>
          </w:tcPr>
          <w:p w14:paraId="1A253FA7">
            <w:pPr>
              <w:widowControl/>
              <w:jc w:val="left"/>
              <w:rPr>
                <w:rFonts w:hint="eastAsia" w:ascii="宋体" w:hAnsi="宋体"/>
                <w:color w:val="000000"/>
                <w:sz w:val="22"/>
                <w:szCs w:val="22"/>
                <w:highlight w:val="none"/>
                <w:lang w:bidi="en-US"/>
              </w:rPr>
            </w:pPr>
            <w:r>
              <w:rPr>
                <w:rFonts w:ascii="宋体" w:hAnsi="宋体"/>
                <w:color w:val="000000"/>
                <w:sz w:val="22"/>
                <w:szCs w:val="22"/>
                <w:highlight w:val="none"/>
                <w:lang w:bidi="en-US"/>
              </w:rPr>
              <w:t>基于已构建</w:t>
            </w:r>
            <w:r>
              <w:rPr>
                <w:rFonts w:hint="eastAsia" w:ascii="宋体" w:hAnsi="宋体"/>
                <w:color w:val="000000"/>
                <w:sz w:val="22"/>
                <w:szCs w:val="22"/>
                <w:highlight w:val="none"/>
                <w:lang w:bidi="en-US"/>
              </w:rPr>
              <w:t>自适应技术</w:t>
            </w:r>
            <w:r>
              <w:rPr>
                <w:rFonts w:ascii="宋体" w:hAnsi="宋体"/>
                <w:color w:val="000000"/>
                <w:sz w:val="22"/>
                <w:szCs w:val="22"/>
                <w:highlight w:val="none"/>
                <w:lang w:bidi="en-US"/>
              </w:rPr>
              <w:t>安全运营体系，深化改造智能安全运营平台，推动安全能力由“被动响应”向“主动闭环治理”升级</w:t>
            </w:r>
          </w:p>
          <w:p w14:paraId="75346400">
            <w:pPr>
              <w:widowControl/>
              <w:jc w:val="left"/>
              <w:rPr>
                <w:rFonts w:hint="eastAsia" w:ascii="宋体" w:hAnsi="宋体"/>
                <w:color w:val="000000"/>
                <w:sz w:val="22"/>
                <w:szCs w:val="22"/>
                <w:highlight w:val="none"/>
                <w:lang w:bidi="en-US"/>
              </w:rPr>
            </w:pPr>
            <w:r>
              <w:rPr>
                <w:rFonts w:ascii="宋体" w:hAnsi="宋体"/>
                <w:color w:val="000000"/>
                <w:sz w:val="22"/>
                <w:szCs w:val="22"/>
                <w:highlight w:val="none"/>
                <w:lang w:bidi="en-US"/>
              </w:rPr>
              <w:t>（1）通过平台剧本持续性封禁明确恶意攻击来源，优化补充现有自动封禁策略规则，拓宽监测设备的告警类型覆盖范围</w:t>
            </w:r>
            <w:r>
              <w:rPr>
                <w:rFonts w:hint="eastAsia" w:ascii="宋体" w:hAnsi="宋体"/>
                <w:color w:val="000000"/>
                <w:sz w:val="22"/>
                <w:szCs w:val="22"/>
                <w:highlight w:val="none"/>
                <w:lang w:bidi="en-US"/>
              </w:rPr>
              <w:t>；</w:t>
            </w:r>
          </w:p>
          <w:p w14:paraId="4A6184FB">
            <w:pPr>
              <w:widowControl/>
              <w:jc w:val="left"/>
              <w:rPr>
                <w:rFonts w:hint="eastAsia" w:ascii="宋体" w:hAnsi="宋体"/>
                <w:color w:val="000000"/>
                <w:sz w:val="22"/>
                <w:szCs w:val="22"/>
                <w:highlight w:val="none"/>
                <w:lang w:bidi="en-US"/>
              </w:rPr>
            </w:pPr>
            <w:r>
              <w:rPr>
                <w:rFonts w:ascii="宋体" w:hAnsi="宋体"/>
                <w:color w:val="000000"/>
                <w:sz w:val="22"/>
                <w:szCs w:val="22"/>
                <w:highlight w:val="none"/>
                <w:lang w:bidi="en-US"/>
              </w:rPr>
              <w:t>（2）扩展平台自动化巡检功能所覆盖</w:t>
            </w:r>
            <w:r>
              <w:rPr>
                <w:rFonts w:hint="eastAsia" w:ascii="宋体" w:hAnsi="宋体"/>
                <w:color w:val="000000"/>
                <w:sz w:val="22"/>
                <w:szCs w:val="22"/>
                <w:highlight w:val="none"/>
                <w:lang w:bidi="en-US"/>
              </w:rPr>
              <w:t>设</w:t>
            </w:r>
            <w:r>
              <w:rPr>
                <w:rFonts w:ascii="宋体" w:hAnsi="宋体"/>
                <w:color w:val="000000"/>
                <w:sz w:val="22"/>
                <w:szCs w:val="22"/>
                <w:highlight w:val="none"/>
                <w:lang w:bidi="en-US"/>
              </w:rPr>
              <w:t>备类型与品牌，增强对各类安全设备的适配能力，实现更全面的安全设备自动化巡检，提升安全运营效率</w:t>
            </w:r>
            <w:r>
              <w:rPr>
                <w:rFonts w:hint="eastAsia" w:ascii="宋体" w:hAnsi="宋体"/>
                <w:color w:val="000000"/>
                <w:sz w:val="22"/>
                <w:szCs w:val="22"/>
                <w:highlight w:val="none"/>
                <w:lang w:bidi="en-US"/>
              </w:rPr>
              <w:t>；</w:t>
            </w:r>
          </w:p>
          <w:p w14:paraId="1950EA1C">
            <w:pPr>
              <w:widowControl/>
              <w:jc w:val="left"/>
              <w:rPr>
                <w:rFonts w:hint="eastAsia" w:ascii="宋体" w:hAnsi="宋体"/>
                <w:color w:val="000000"/>
                <w:sz w:val="22"/>
                <w:szCs w:val="22"/>
                <w:highlight w:val="none"/>
                <w:lang w:bidi="en-US"/>
              </w:rPr>
            </w:pPr>
            <w:r>
              <w:rPr>
                <w:rFonts w:ascii="宋体" w:hAnsi="宋体"/>
                <w:color w:val="000000"/>
                <w:sz w:val="22"/>
                <w:szCs w:val="22"/>
                <w:highlight w:val="none"/>
                <w:lang w:bidi="en-US"/>
              </w:rPr>
              <w:t>（3）通过平台采集安全设备数据、汇总分析，按预设周期自动生成从日常运营、威胁态势到战略管理的多维度的标准化安全报告，驱动安全运营的持续优化闭环，为管理层决策提供量化依据</w:t>
            </w:r>
            <w:r>
              <w:rPr>
                <w:rFonts w:hint="eastAsia" w:ascii="宋体" w:hAnsi="宋体"/>
                <w:color w:val="000000"/>
                <w:sz w:val="22"/>
                <w:szCs w:val="22"/>
                <w:highlight w:val="none"/>
                <w:lang w:bidi="en-US"/>
              </w:rPr>
              <w:t>；</w:t>
            </w:r>
          </w:p>
          <w:p w14:paraId="279045F5">
            <w:pPr>
              <w:widowControl/>
              <w:jc w:val="left"/>
              <w:rPr>
                <w:rFonts w:hint="eastAsia" w:ascii="宋体" w:hAnsi="宋体"/>
                <w:color w:val="000000"/>
                <w:sz w:val="22"/>
                <w:szCs w:val="22"/>
                <w:highlight w:val="none"/>
                <w:lang w:bidi="en-US"/>
              </w:rPr>
            </w:pPr>
            <w:r>
              <w:rPr>
                <w:rFonts w:ascii="宋体" w:hAnsi="宋体"/>
                <w:color w:val="000000"/>
                <w:sz w:val="22"/>
                <w:szCs w:val="22"/>
                <w:highlight w:val="none"/>
                <w:lang w:bidi="en-US"/>
              </w:rPr>
              <w:t>（4）将日常安全运营常规工作任务转换成平台剧本，提升安全运营工作效率</w:t>
            </w:r>
            <w:r>
              <w:rPr>
                <w:rFonts w:hint="eastAsia" w:ascii="宋体" w:hAnsi="宋体"/>
                <w:color w:val="000000"/>
                <w:sz w:val="22"/>
                <w:szCs w:val="22"/>
                <w:highlight w:val="none"/>
                <w:lang w:bidi="en-US"/>
              </w:rPr>
              <w:t>；</w:t>
            </w:r>
          </w:p>
          <w:p w14:paraId="213B13BB">
            <w:pPr>
              <w:widowControl/>
              <w:jc w:val="left"/>
              <w:rPr>
                <w:rFonts w:hint="eastAsia" w:ascii="宋体" w:hAnsi="宋体"/>
                <w:color w:val="000000"/>
                <w:sz w:val="22"/>
                <w:szCs w:val="22"/>
                <w:highlight w:val="yellow"/>
                <w:lang w:bidi="en-US"/>
              </w:rPr>
            </w:pPr>
            <w:r>
              <w:rPr>
                <w:rFonts w:hint="eastAsia" w:ascii="宋体" w:hAnsi="宋体"/>
                <w:color w:val="000000"/>
                <w:sz w:val="22"/>
                <w:szCs w:val="22"/>
                <w:highlight w:val="none"/>
                <w:lang w:bidi="en-US"/>
              </w:rPr>
              <w:t>（5）搭建智能安全运营平台移动端 APP，支撑安全运维人员随时随地开展安全事件应急处置工作。管理人员可通过移动端实时查看运营态势仪表盘、查阅安全事件全量详情，直观掌握事件处置进度、全程监督处置流程，有效提升应急响应效率与安全管控能力。</w:t>
            </w:r>
          </w:p>
        </w:tc>
      </w:tr>
      <w:tr w14:paraId="6F8CBDB0">
        <w:tblPrEx>
          <w:tblCellMar>
            <w:top w:w="0" w:type="dxa"/>
            <w:left w:w="108" w:type="dxa"/>
            <w:bottom w:w="0" w:type="dxa"/>
            <w:right w:w="108" w:type="dxa"/>
          </w:tblCellMar>
        </w:tblPrEx>
        <w:trPr>
          <w:trHeight w:val="1152" w:hRule="atLeast"/>
        </w:trPr>
        <w:tc>
          <w:tcPr>
            <w:tcW w:w="1404" w:type="dxa"/>
            <w:vMerge w:val="continue"/>
            <w:tcBorders>
              <w:left w:val="single" w:color="000000" w:sz="4" w:space="0"/>
              <w:bottom w:val="single" w:color="000000" w:sz="4" w:space="0"/>
              <w:right w:val="single" w:color="000000" w:sz="4" w:space="0"/>
            </w:tcBorders>
            <w:vAlign w:val="center"/>
          </w:tcPr>
          <w:p w14:paraId="690B282E">
            <w:pPr>
              <w:jc w:val="center"/>
              <w:rPr>
                <w:rFonts w:hint="eastAsia" w:ascii="宋体" w:hAnsi="宋体"/>
                <w:color w:val="000000"/>
                <w:sz w:val="22"/>
                <w:szCs w:val="22"/>
              </w:rPr>
            </w:pPr>
          </w:p>
        </w:tc>
        <w:tc>
          <w:tcPr>
            <w:tcW w:w="1501" w:type="dxa"/>
            <w:tcBorders>
              <w:top w:val="single" w:color="000000" w:sz="4" w:space="0"/>
              <w:left w:val="single" w:color="000000" w:sz="4" w:space="0"/>
              <w:bottom w:val="single" w:color="000000" w:sz="4" w:space="0"/>
              <w:right w:val="single" w:color="000000" w:sz="4" w:space="0"/>
            </w:tcBorders>
            <w:vAlign w:val="center"/>
          </w:tcPr>
          <w:p w14:paraId="6C116292">
            <w:pPr>
              <w:widowControl/>
              <w:jc w:val="left"/>
              <w:rPr>
                <w:rFonts w:hint="eastAsia" w:ascii="宋体" w:hAnsi="宋体"/>
                <w:color w:val="000000"/>
                <w:sz w:val="22"/>
                <w:szCs w:val="22"/>
                <w:lang w:bidi="en-US"/>
              </w:rPr>
            </w:pPr>
            <w:r>
              <w:rPr>
                <w:rFonts w:ascii="宋体" w:hAnsi="宋体"/>
                <w:color w:val="000000"/>
                <w:sz w:val="22"/>
                <w:szCs w:val="22"/>
                <w:lang w:bidi="en-US"/>
              </w:rPr>
              <w:t>13.重要安全设备高可用故障恢复演练</w:t>
            </w:r>
          </w:p>
        </w:tc>
        <w:tc>
          <w:tcPr>
            <w:tcW w:w="6444" w:type="dxa"/>
            <w:tcBorders>
              <w:top w:val="single" w:color="000000" w:sz="4" w:space="0"/>
              <w:left w:val="single" w:color="000000" w:sz="4" w:space="0"/>
              <w:bottom w:val="single" w:color="000000" w:sz="4" w:space="0"/>
              <w:right w:val="single" w:color="000000" w:sz="4" w:space="0"/>
            </w:tcBorders>
          </w:tcPr>
          <w:p w14:paraId="11EE831D">
            <w:pPr>
              <w:widowControl/>
              <w:jc w:val="left"/>
              <w:rPr>
                <w:rFonts w:hint="eastAsia" w:ascii="宋体" w:hAnsi="宋体"/>
                <w:color w:val="000000"/>
                <w:sz w:val="22"/>
                <w:szCs w:val="22"/>
                <w:highlight w:val="none"/>
                <w:lang w:bidi="en-US"/>
              </w:rPr>
            </w:pPr>
            <w:r>
              <w:rPr>
                <w:rFonts w:ascii="宋体" w:hAnsi="宋体"/>
                <w:color w:val="000000"/>
                <w:sz w:val="22"/>
                <w:szCs w:val="22"/>
                <w:highlight w:val="none"/>
                <w:lang w:bidi="en-US"/>
              </w:rPr>
              <w:t>重要安全设备特定故障场景恢复演练</w:t>
            </w:r>
            <w:r>
              <w:rPr>
                <w:rFonts w:hint="eastAsia" w:ascii="宋体" w:hAnsi="宋体"/>
                <w:color w:val="000000"/>
                <w:sz w:val="22"/>
                <w:szCs w:val="22"/>
                <w:highlight w:val="none"/>
                <w:lang w:bidi="en-US"/>
              </w:rPr>
              <w:t>，</w:t>
            </w:r>
            <w:r>
              <w:rPr>
                <w:rFonts w:ascii="宋体" w:hAnsi="宋体"/>
                <w:color w:val="000000"/>
                <w:sz w:val="22"/>
                <w:szCs w:val="22"/>
                <w:highlight w:val="none"/>
                <w:lang w:bidi="en-US"/>
              </w:rPr>
              <w:t>对重要安全设备进行高可用故障恢复演练，包括但不限定于主备/主从/集群式的切换，评估设备切换及时性，保障业务连续性。</w:t>
            </w:r>
          </w:p>
          <w:p w14:paraId="15342FC0">
            <w:pPr>
              <w:widowControl/>
              <w:jc w:val="left"/>
              <w:rPr>
                <w:rFonts w:hint="eastAsia" w:ascii="宋体" w:hAnsi="宋体"/>
                <w:color w:val="000000"/>
                <w:sz w:val="22"/>
                <w:szCs w:val="22"/>
                <w:highlight w:val="none"/>
                <w:lang w:bidi="en-US"/>
              </w:rPr>
            </w:pPr>
            <w:r>
              <w:rPr>
                <w:rFonts w:ascii="宋体" w:hAnsi="宋体"/>
                <w:color w:val="000000"/>
                <w:sz w:val="22"/>
                <w:szCs w:val="22"/>
                <w:highlight w:val="none"/>
                <w:lang w:bidi="en-US"/>
              </w:rPr>
              <w:t>（1）主要对负载均衡、出口防火墙、网络边界防火墙、上网行为管理等设备进行验证，预计8套</w:t>
            </w:r>
            <w:r>
              <w:rPr>
                <w:rFonts w:hint="eastAsia" w:ascii="宋体" w:hAnsi="宋体"/>
                <w:color w:val="000000"/>
                <w:sz w:val="22"/>
                <w:szCs w:val="22"/>
                <w:highlight w:val="none"/>
                <w:lang w:bidi="en-US"/>
              </w:rPr>
              <w:t>；</w:t>
            </w:r>
          </w:p>
          <w:p w14:paraId="71FF7086">
            <w:pPr>
              <w:widowControl/>
              <w:jc w:val="left"/>
              <w:rPr>
                <w:rFonts w:hint="eastAsia" w:ascii="宋体" w:hAnsi="宋体"/>
                <w:color w:val="000000"/>
                <w:sz w:val="22"/>
                <w:szCs w:val="22"/>
                <w:highlight w:val="yellow"/>
                <w:lang w:bidi="en-US"/>
              </w:rPr>
            </w:pPr>
            <w:r>
              <w:rPr>
                <w:rFonts w:ascii="宋体" w:hAnsi="宋体"/>
                <w:color w:val="000000"/>
                <w:sz w:val="22"/>
                <w:szCs w:val="22"/>
                <w:highlight w:val="none"/>
                <w:lang w:bidi="en-US"/>
              </w:rPr>
              <w:t>（2）演练场景包括不仅于：链路切换演练、电源切换演练、主备机切换链演练等。</w:t>
            </w:r>
          </w:p>
        </w:tc>
      </w:tr>
      <w:tr w14:paraId="4CEF26C3">
        <w:tblPrEx>
          <w:tblCellMar>
            <w:top w:w="0" w:type="dxa"/>
            <w:left w:w="108" w:type="dxa"/>
            <w:bottom w:w="0" w:type="dxa"/>
            <w:right w:w="108" w:type="dxa"/>
          </w:tblCellMar>
        </w:tblPrEx>
        <w:trPr>
          <w:trHeight w:val="90" w:hRule="atLeast"/>
        </w:trPr>
        <w:tc>
          <w:tcPr>
            <w:tcW w:w="9349" w:type="dxa"/>
            <w:gridSpan w:val="3"/>
            <w:tcBorders>
              <w:top w:val="single" w:color="000000" w:sz="4" w:space="0"/>
              <w:left w:val="single" w:color="000000" w:sz="4" w:space="0"/>
              <w:bottom w:val="single" w:color="000000" w:sz="4" w:space="0"/>
              <w:right w:val="single" w:color="000000" w:sz="4" w:space="0"/>
            </w:tcBorders>
            <w:vAlign w:val="center"/>
          </w:tcPr>
          <w:p w14:paraId="0555F044">
            <w:pPr>
              <w:widowControl/>
              <w:jc w:val="left"/>
              <w:rPr>
                <w:rFonts w:hint="eastAsia" w:ascii="宋体" w:hAnsi="宋体"/>
                <w:b/>
                <w:bCs/>
                <w:color w:val="000000"/>
                <w:sz w:val="24"/>
              </w:rPr>
            </w:pPr>
            <w:r>
              <w:rPr>
                <w:rFonts w:hint="eastAsia" w:ascii="宋体" w:hAnsi="宋体"/>
                <w:b/>
                <w:bCs/>
                <w:color w:val="000000"/>
                <w:sz w:val="24"/>
                <w:lang w:val="en-US" w:eastAsia="zh-CN" w:bidi="en-US"/>
              </w:rPr>
              <w:t>4</w:t>
            </w:r>
            <w:r>
              <w:rPr>
                <w:rFonts w:ascii="宋体" w:hAnsi="宋体"/>
                <w:b/>
                <w:bCs/>
                <w:color w:val="000000"/>
                <w:sz w:val="24"/>
                <w:lang w:bidi="en-US"/>
              </w:rPr>
              <w:t>.3安全应急保障服务</w:t>
            </w:r>
          </w:p>
        </w:tc>
      </w:tr>
      <w:tr w14:paraId="7932EDC3">
        <w:tblPrEx>
          <w:tblCellMar>
            <w:top w:w="0" w:type="dxa"/>
            <w:left w:w="108" w:type="dxa"/>
            <w:bottom w:w="0" w:type="dxa"/>
            <w:right w:w="108" w:type="dxa"/>
          </w:tblCellMar>
        </w:tblPrEx>
        <w:trPr>
          <w:trHeight w:val="864" w:hRule="atLeast"/>
        </w:trPr>
        <w:tc>
          <w:tcPr>
            <w:tcW w:w="1404" w:type="dxa"/>
            <w:vMerge w:val="restart"/>
            <w:tcBorders>
              <w:top w:val="single" w:color="000000" w:sz="4" w:space="0"/>
              <w:left w:val="single" w:color="000000" w:sz="4" w:space="0"/>
              <w:bottom w:val="single" w:color="000000" w:sz="4" w:space="0"/>
              <w:right w:val="single" w:color="000000" w:sz="4" w:space="0"/>
            </w:tcBorders>
            <w:vAlign w:val="center"/>
          </w:tcPr>
          <w:p w14:paraId="0DAEDA50">
            <w:pPr>
              <w:widowControl/>
              <w:jc w:val="center"/>
              <w:rPr>
                <w:rFonts w:hint="eastAsia" w:ascii="宋体" w:hAnsi="宋体"/>
                <w:color w:val="000000"/>
                <w:sz w:val="22"/>
                <w:szCs w:val="22"/>
              </w:rPr>
            </w:pPr>
            <w:r>
              <w:rPr>
                <w:rFonts w:ascii="宋体" w:hAnsi="宋体"/>
                <w:color w:val="000000"/>
                <w:sz w:val="22"/>
                <w:szCs w:val="22"/>
                <w:lang w:bidi="en-US"/>
              </w:rPr>
              <w:t>安全应急保障</w:t>
            </w:r>
          </w:p>
        </w:tc>
        <w:tc>
          <w:tcPr>
            <w:tcW w:w="1501" w:type="dxa"/>
            <w:tcBorders>
              <w:top w:val="single" w:color="000000" w:sz="4" w:space="0"/>
              <w:left w:val="single" w:color="000000" w:sz="4" w:space="0"/>
              <w:bottom w:val="single" w:color="000000" w:sz="4" w:space="0"/>
              <w:right w:val="single" w:color="000000" w:sz="4" w:space="0"/>
            </w:tcBorders>
            <w:vAlign w:val="center"/>
          </w:tcPr>
          <w:p w14:paraId="07F9EFE1">
            <w:pPr>
              <w:widowControl/>
              <w:jc w:val="center"/>
              <w:rPr>
                <w:rFonts w:hint="eastAsia" w:ascii="宋体" w:hAnsi="宋体"/>
                <w:color w:val="000000"/>
                <w:sz w:val="22"/>
                <w:szCs w:val="22"/>
              </w:rPr>
            </w:pPr>
            <w:r>
              <w:rPr>
                <w:rFonts w:ascii="宋体" w:hAnsi="宋体"/>
                <w:color w:val="000000"/>
                <w:sz w:val="22"/>
                <w:szCs w:val="22"/>
                <w:lang w:bidi="en-US"/>
              </w:rPr>
              <w:t>1.完善应急预案</w:t>
            </w:r>
          </w:p>
        </w:tc>
        <w:tc>
          <w:tcPr>
            <w:tcW w:w="6444" w:type="dxa"/>
            <w:tcBorders>
              <w:top w:val="single" w:color="000000" w:sz="4" w:space="0"/>
              <w:left w:val="single" w:color="000000" w:sz="4" w:space="0"/>
              <w:bottom w:val="single" w:color="000000" w:sz="4" w:space="0"/>
              <w:right w:val="single" w:color="000000" w:sz="4" w:space="0"/>
            </w:tcBorders>
            <w:vAlign w:val="center"/>
          </w:tcPr>
          <w:p w14:paraId="1A7442CA">
            <w:pPr>
              <w:widowControl/>
              <w:jc w:val="left"/>
              <w:rPr>
                <w:rFonts w:hint="eastAsia" w:ascii="宋体" w:hAnsi="宋体"/>
                <w:color w:val="000000"/>
                <w:sz w:val="22"/>
                <w:szCs w:val="22"/>
              </w:rPr>
            </w:pPr>
            <w:r>
              <w:rPr>
                <w:rFonts w:ascii="宋体" w:hAnsi="宋体"/>
                <w:color w:val="000000"/>
                <w:sz w:val="22"/>
                <w:szCs w:val="22"/>
                <w:lang w:bidi="en-US"/>
              </w:rPr>
              <w:t>调研采购人组织管理架构和网络基础环境，梳理采购人应急组织架构、事件场景，明确应急处置程序流程，形成包含应急管控、应急处置和应急操作三个层面内容的应急预案文档</w:t>
            </w:r>
            <w:r>
              <w:rPr>
                <w:rFonts w:hint="eastAsia" w:ascii="宋体" w:hAnsi="宋体"/>
                <w:color w:val="000000"/>
                <w:sz w:val="22"/>
                <w:szCs w:val="22"/>
                <w:lang w:bidi="en-US"/>
              </w:rPr>
              <w:t>。</w:t>
            </w:r>
          </w:p>
        </w:tc>
      </w:tr>
      <w:tr w14:paraId="15F6B700">
        <w:tblPrEx>
          <w:tblCellMar>
            <w:top w:w="0" w:type="dxa"/>
            <w:left w:w="108" w:type="dxa"/>
            <w:bottom w:w="0" w:type="dxa"/>
            <w:right w:w="108" w:type="dxa"/>
          </w:tblCellMar>
        </w:tblPrEx>
        <w:trPr>
          <w:trHeight w:val="576" w:hRule="atLeast"/>
        </w:trPr>
        <w:tc>
          <w:tcPr>
            <w:tcW w:w="1404" w:type="dxa"/>
            <w:vMerge w:val="continue"/>
            <w:tcBorders>
              <w:top w:val="single" w:color="000000" w:sz="4" w:space="0"/>
              <w:left w:val="single" w:color="000000" w:sz="4" w:space="0"/>
              <w:bottom w:val="single" w:color="000000" w:sz="4" w:space="0"/>
              <w:right w:val="single" w:color="000000" w:sz="4" w:space="0"/>
            </w:tcBorders>
            <w:vAlign w:val="center"/>
          </w:tcPr>
          <w:p w14:paraId="31D83C64">
            <w:pPr>
              <w:jc w:val="center"/>
              <w:rPr>
                <w:rFonts w:hint="eastAsia" w:ascii="宋体" w:hAnsi="宋体"/>
                <w:color w:val="000000"/>
                <w:sz w:val="22"/>
                <w:szCs w:val="22"/>
              </w:rPr>
            </w:pPr>
          </w:p>
        </w:tc>
        <w:tc>
          <w:tcPr>
            <w:tcW w:w="1501" w:type="dxa"/>
            <w:tcBorders>
              <w:top w:val="single" w:color="000000" w:sz="4" w:space="0"/>
              <w:left w:val="single" w:color="000000" w:sz="4" w:space="0"/>
              <w:bottom w:val="single" w:color="000000" w:sz="4" w:space="0"/>
              <w:right w:val="single" w:color="000000" w:sz="4" w:space="0"/>
            </w:tcBorders>
            <w:vAlign w:val="center"/>
          </w:tcPr>
          <w:p w14:paraId="4F918731">
            <w:pPr>
              <w:widowControl/>
              <w:jc w:val="center"/>
              <w:rPr>
                <w:rFonts w:hint="eastAsia" w:ascii="宋体" w:hAnsi="宋体"/>
                <w:color w:val="000000"/>
                <w:sz w:val="22"/>
                <w:szCs w:val="22"/>
              </w:rPr>
            </w:pPr>
            <w:r>
              <w:rPr>
                <w:rFonts w:hint="eastAsia"/>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080" cy="508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080" cy="5080"/>
                          </a:xfrm>
                          <a:prstGeom prst="rect">
                            <a:avLst/>
                          </a:prstGeom>
                          <a:noFill/>
                          <a:ln>
                            <a:noFill/>
                          </a:ln>
                        </pic:spPr>
                      </pic:pic>
                    </a:graphicData>
                  </a:graphic>
                </wp:anchor>
              </w:drawing>
            </w:r>
            <w:r>
              <w:rPr>
                <w:rFonts w:ascii="宋体" w:hAnsi="宋体"/>
                <w:color w:val="000000"/>
                <w:sz w:val="22"/>
                <w:szCs w:val="22"/>
                <w:lang w:bidi="en-US"/>
              </w:rPr>
              <w:t>2.应急演练服务</w:t>
            </w:r>
          </w:p>
        </w:tc>
        <w:tc>
          <w:tcPr>
            <w:tcW w:w="6444" w:type="dxa"/>
            <w:tcBorders>
              <w:top w:val="single" w:color="000000" w:sz="4" w:space="0"/>
              <w:left w:val="single" w:color="000000" w:sz="4" w:space="0"/>
              <w:bottom w:val="single" w:color="000000" w:sz="4" w:space="0"/>
              <w:right w:val="single" w:color="000000" w:sz="4" w:space="0"/>
            </w:tcBorders>
            <w:vAlign w:val="center"/>
          </w:tcPr>
          <w:p w14:paraId="1CFC4BDA">
            <w:pPr>
              <w:widowControl/>
              <w:jc w:val="left"/>
              <w:rPr>
                <w:rFonts w:hint="eastAsia" w:ascii="宋体" w:hAnsi="宋体"/>
                <w:color w:val="000000"/>
                <w:sz w:val="22"/>
                <w:szCs w:val="22"/>
              </w:rPr>
            </w:pPr>
            <w:r>
              <w:rPr>
                <w:rFonts w:ascii="宋体" w:hAnsi="宋体"/>
                <w:color w:val="000000"/>
                <w:sz w:val="22"/>
                <w:szCs w:val="22"/>
                <w:lang w:bidi="en-US"/>
              </w:rPr>
              <w:t>组织策划和开展应急演</w:t>
            </w:r>
            <w:r>
              <w:rPr>
                <w:rFonts w:ascii="宋体" w:hAnsi="宋体"/>
                <w:color w:val="000000"/>
                <w:sz w:val="24"/>
                <w:szCs w:val="24"/>
                <w:lang w:bidi="en-US"/>
              </w:rPr>
              <w:t>练</w:t>
            </w:r>
            <w:r>
              <w:rPr>
                <w:rFonts w:ascii="宋体" w:hAnsi="宋体"/>
                <w:color w:val="000000"/>
                <w:sz w:val="22"/>
                <w:szCs w:val="22"/>
                <w:lang w:bidi="en-US"/>
              </w:rPr>
              <w:t>，包括制定演练计划、编制演练工作方案、设计演练脚本、配合准备演练环境、动员与培训、演练过程记录和总结等工作</w:t>
            </w:r>
            <w:r>
              <w:rPr>
                <w:rFonts w:hint="eastAsia" w:ascii="宋体" w:hAnsi="宋体"/>
                <w:color w:val="000000"/>
                <w:sz w:val="22"/>
                <w:szCs w:val="22"/>
                <w:lang w:bidi="en-US"/>
              </w:rPr>
              <w:t>。</w:t>
            </w:r>
          </w:p>
        </w:tc>
      </w:tr>
      <w:tr w14:paraId="33F796D7">
        <w:tblPrEx>
          <w:tblCellMar>
            <w:top w:w="0" w:type="dxa"/>
            <w:left w:w="108" w:type="dxa"/>
            <w:bottom w:w="0" w:type="dxa"/>
            <w:right w:w="108" w:type="dxa"/>
          </w:tblCellMar>
        </w:tblPrEx>
        <w:trPr>
          <w:trHeight w:val="1152" w:hRule="atLeast"/>
        </w:trPr>
        <w:tc>
          <w:tcPr>
            <w:tcW w:w="1404" w:type="dxa"/>
            <w:vMerge w:val="continue"/>
            <w:tcBorders>
              <w:top w:val="single" w:color="000000" w:sz="4" w:space="0"/>
              <w:left w:val="single" w:color="000000" w:sz="4" w:space="0"/>
              <w:bottom w:val="single" w:color="000000" w:sz="4" w:space="0"/>
              <w:right w:val="single" w:color="000000" w:sz="4" w:space="0"/>
            </w:tcBorders>
            <w:vAlign w:val="center"/>
          </w:tcPr>
          <w:p w14:paraId="34D73572">
            <w:pPr>
              <w:jc w:val="center"/>
              <w:rPr>
                <w:rFonts w:hint="eastAsia" w:ascii="宋体" w:hAnsi="宋体"/>
                <w:color w:val="000000"/>
                <w:sz w:val="22"/>
                <w:szCs w:val="22"/>
              </w:rPr>
            </w:pPr>
          </w:p>
        </w:tc>
        <w:tc>
          <w:tcPr>
            <w:tcW w:w="1501" w:type="dxa"/>
            <w:tcBorders>
              <w:top w:val="single" w:color="000000" w:sz="4" w:space="0"/>
              <w:left w:val="single" w:color="000000" w:sz="4" w:space="0"/>
              <w:bottom w:val="single" w:color="000000" w:sz="4" w:space="0"/>
              <w:right w:val="single" w:color="000000" w:sz="4" w:space="0"/>
            </w:tcBorders>
            <w:vAlign w:val="center"/>
          </w:tcPr>
          <w:p w14:paraId="3F2A23F7">
            <w:pPr>
              <w:widowControl/>
              <w:jc w:val="center"/>
              <w:rPr>
                <w:rFonts w:hint="eastAsia" w:ascii="宋体" w:hAnsi="宋体"/>
                <w:color w:val="000000"/>
                <w:sz w:val="22"/>
                <w:szCs w:val="22"/>
              </w:rPr>
            </w:pPr>
            <w:r>
              <w:rPr>
                <w:rFonts w:ascii="宋体" w:hAnsi="宋体"/>
                <w:color w:val="000000"/>
                <w:sz w:val="22"/>
                <w:szCs w:val="22"/>
                <w:lang w:bidi="en-US"/>
              </w:rPr>
              <w:t>3.应急响应服务</w:t>
            </w:r>
          </w:p>
        </w:tc>
        <w:tc>
          <w:tcPr>
            <w:tcW w:w="6444" w:type="dxa"/>
            <w:tcBorders>
              <w:top w:val="single" w:color="000000" w:sz="4" w:space="0"/>
              <w:left w:val="single" w:color="000000" w:sz="4" w:space="0"/>
              <w:bottom w:val="single" w:color="000000" w:sz="4" w:space="0"/>
              <w:right w:val="single" w:color="000000" w:sz="4" w:space="0"/>
            </w:tcBorders>
            <w:vAlign w:val="center"/>
          </w:tcPr>
          <w:p w14:paraId="4EB2947E">
            <w:pPr>
              <w:widowControl/>
              <w:jc w:val="left"/>
              <w:rPr>
                <w:rFonts w:hint="eastAsia" w:ascii="宋体" w:hAnsi="宋体"/>
                <w:color w:val="000000"/>
                <w:sz w:val="22"/>
                <w:szCs w:val="22"/>
              </w:rPr>
            </w:pPr>
            <w:r>
              <w:rPr>
                <w:rFonts w:ascii="宋体" w:hAnsi="宋体"/>
                <w:color w:val="000000"/>
                <w:sz w:val="22"/>
                <w:szCs w:val="22"/>
                <w:lang w:bidi="en-US"/>
              </w:rPr>
              <w:t>（1）在采购人遇到突发安全事件后，主导应急工作，组织协调各方采取专业的安全措施和行动，并对已经发生的安全事件进行监控、分析、协调、处理、保护资产等安全属性的工作；</w:t>
            </w:r>
            <w:r>
              <w:rPr>
                <w:rFonts w:ascii="宋体" w:hAnsi="宋体"/>
                <w:color w:val="000000"/>
                <w:sz w:val="22"/>
                <w:szCs w:val="22"/>
                <w:lang w:bidi="en-US"/>
              </w:rPr>
              <w:br w:type="textWrapping"/>
            </w:r>
            <w:r>
              <w:rPr>
                <w:rFonts w:ascii="宋体" w:hAnsi="宋体"/>
                <w:color w:val="000000"/>
                <w:sz w:val="22"/>
                <w:szCs w:val="22"/>
                <w:lang w:bidi="en-US"/>
              </w:rPr>
              <w:t>（2）进行事件处置分析，协同加固，并出具相应报告</w:t>
            </w:r>
            <w:r>
              <w:rPr>
                <w:rFonts w:hint="eastAsia" w:ascii="宋体" w:hAnsi="宋体"/>
                <w:color w:val="000000"/>
                <w:sz w:val="22"/>
                <w:szCs w:val="22"/>
                <w:lang w:bidi="en-US"/>
              </w:rPr>
              <w:t>。</w:t>
            </w:r>
          </w:p>
        </w:tc>
      </w:tr>
      <w:tr w14:paraId="2CC5E240">
        <w:tblPrEx>
          <w:tblCellMar>
            <w:top w:w="0" w:type="dxa"/>
            <w:left w:w="108" w:type="dxa"/>
            <w:bottom w:w="0" w:type="dxa"/>
            <w:right w:w="108" w:type="dxa"/>
          </w:tblCellMar>
        </w:tblPrEx>
        <w:trPr>
          <w:trHeight w:val="312" w:hRule="atLeast"/>
        </w:trPr>
        <w:tc>
          <w:tcPr>
            <w:tcW w:w="9349" w:type="dxa"/>
            <w:gridSpan w:val="3"/>
            <w:tcBorders>
              <w:top w:val="single" w:color="000000" w:sz="4" w:space="0"/>
              <w:left w:val="single" w:color="000000" w:sz="4" w:space="0"/>
              <w:bottom w:val="single" w:color="000000" w:sz="4" w:space="0"/>
              <w:right w:val="single" w:color="000000" w:sz="4" w:space="0"/>
            </w:tcBorders>
            <w:vAlign w:val="bottom"/>
          </w:tcPr>
          <w:p w14:paraId="3C62939E">
            <w:pPr>
              <w:widowControl/>
              <w:jc w:val="left"/>
              <w:rPr>
                <w:rFonts w:hint="eastAsia" w:ascii="宋体" w:hAnsi="宋体"/>
                <w:b/>
                <w:bCs/>
                <w:color w:val="000000"/>
                <w:sz w:val="24"/>
              </w:rPr>
            </w:pPr>
            <w:r>
              <w:rPr>
                <w:rFonts w:hint="eastAsia" w:ascii="宋体" w:hAnsi="宋体"/>
                <w:b/>
                <w:bCs/>
                <w:color w:val="000000"/>
                <w:sz w:val="24"/>
                <w:lang w:val="en-US" w:eastAsia="zh-CN" w:bidi="en-US"/>
              </w:rPr>
              <w:t>4</w:t>
            </w:r>
            <w:r>
              <w:rPr>
                <w:rFonts w:ascii="宋体" w:hAnsi="宋体"/>
                <w:b/>
                <w:bCs/>
                <w:color w:val="000000"/>
                <w:sz w:val="24"/>
                <w:lang w:bidi="en-US"/>
              </w:rPr>
              <w:t>.4安全专项保障服务</w:t>
            </w:r>
          </w:p>
        </w:tc>
      </w:tr>
      <w:tr w14:paraId="4A5FBE76">
        <w:tblPrEx>
          <w:tblCellMar>
            <w:top w:w="0" w:type="dxa"/>
            <w:left w:w="108" w:type="dxa"/>
            <w:bottom w:w="0" w:type="dxa"/>
            <w:right w:w="108" w:type="dxa"/>
          </w:tblCellMar>
        </w:tblPrEx>
        <w:trPr>
          <w:trHeight w:val="864" w:hRule="atLeast"/>
        </w:trPr>
        <w:tc>
          <w:tcPr>
            <w:tcW w:w="1404" w:type="dxa"/>
            <w:vMerge w:val="restart"/>
            <w:tcBorders>
              <w:top w:val="single" w:color="000000" w:sz="4" w:space="0"/>
              <w:left w:val="single" w:color="000000" w:sz="4" w:space="0"/>
              <w:bottom w:val="single" w:color="000000" w:sz="4" w:space="0"/>
              <w:right w:val="single" w:color="000000" w:sz="4" w:space="0"/>
            </w:tcBorders>
            <w:vAlign w:val="center"/>
          </w:tcPr>
          <w:p w14:paraId="3E858086">
            <w:pPr>
              <w:widowControl/>
              <w:jc w:val="center"/>
              <w:rPr>
                <w:rFonts w:hint="eastAsia" w:ascii="宋体" w:hAnsi="宋体"/>
                <w:color w:val="000000"/>
                <w:sz w:val="22"/>
                <w:szCs w:val="22"/>
              </w:rPr>
            </w:pPr>
            <w:r>
              <w:rPr>
                <w:rFonts w:ascii="宋体" w:hAnsi="宋体"/>
                <w:color w:val="000000"/>
                <w:sz w:val="22"/>
                <w:szCs w:val="22"/>
                <w:lang w:bidi="en-US"/>
              </w:rPr>
              <w:t>安全</w:t>
            </w:r>
            <w:r>
              <w:rPr>
                <w:rStyle w:val="240"/>
                <w:lang w:bidi="en-US"/>
              </w:rPr>
              <w:t>专项保障</w:t>
            </w:r>
          </w:p>
        </w:tc>
        <w:tc>
          <w:tcPr>
            <w:tcW w:w="1501" w:type="dxa"/>
            <w:tcBorders>
              <w:top w:val="single" w:color="000000" w:sz="4" w:space="0"/>
              <w:left w:val="single" w:color="000000" w:sz="4" w:space="0"/>
              <w:bottom w:val="single" w:color="000000" w:sz="4" w:space="0"/>
              <w:right w:val="single" w:color="000000" w:sz="4" w:space="0"/>
            </w:tcBorders>
            <w:vAlign w:val="center"/>
          </w:tcPr>
          <w:p w14:paraId="22A07544">
            <w:pPr>
              <w:widowControl/>
              <w:jc w:val="center"/>
              <w:rPr>
                <w:rFonts w:hint="eastAsia" w:ascii="宋体" w:hAnsi="宋体"/>
                <w:color w:val="000000"/>
                <w:sz w:val="22"/>
                <w:szCs w:val="22"/>
              </w:rPr>
            </w:pPr>
            <w:r>
              <w:rPr>
                <w:rFonts w:ascii="宋体" w:hAnsi="宋体"/>
                <w:color w:val="000000"/>
                <w:sz w:val="22"/>
                <w:szCs w:val="22"/>
                <w:lang w:bidi="en-US"/>
              </w:rPr>
              <w:t>1.重保活动保障</w:t>
            </w:r>
          </w:p>
        </w:tc>
        <w:tc>
          <w:tcPr>
            <w:tcW w:w="6444" w:type="dxa"/>
            <w:tcBorders>
              <w:top w:val="single" w:color="000000" w:sz="4" w:space="0"/>
              <w:left w:val="single" w:color="000000" w:sz="4" w:space="0"/>
              <w:bottom w:val="single" w:color="000000" w:sz="4" w:space="0"/>
              <w:right w:val="single" w:color="000000" w:sz="4" w:space="0"/>
            </w:tcBorders>
            <w:vAlign w:val="center"/>
          </w:tcPr>
          <w:p w14:paraId="00BF6A5A">
            <w:pPr>
              <w:widowControl/>
              <w:jc w:val="left"/>
              <w:rPr>
                <w:rFonts w:hint="eastAsia" w:ascii="宋体" w:hAnsi="宋体"/>
                <w:color w:val="000000"/>
                <w:sz w:val="22"/>
                <w:szCs w:val="22"/>
              </w:rPr>
            </w:pPr>
            <w:r>
              <w:rPr>
                <w:rFonts w:ascii="宋体" w:hAnsi="宋体"/>
                <w:color w:val="000000"/>
                <w:sz w:val="22"/>
                <w:szCs w:val="22"/>
                <w:lang w:bidi="en-US"/>
              </w:rPr>
              <w:t>（1）对整体信息系统进行风险评估</w:t>
            </w:r>
            <w:r>
              <w:rPr>
                <w:rFonts w:hint="eastAsia" w:ascii="宋体" w:hAnsi="宋体"/>
                <w:color w:val="000000"/>
                <w:sz w:val="22"/>
                <w:szCs w:val="22"/>
                <w:lang w:bidi="en-US"/>
              </w:rPr>
              <w:t>；</w:t>
            </w:r>
            <w:r>
              <w:rPr>
                <w:rFonts w:ascii="宋体" w:hAnsi="宋体"/>
                <w:color w:val="000000"/>
                <w:sz w:val="22"/>
                <w:szCs w:val="22"/>
                <w:lang w:bidi="en-US"/>
              </w:rPr>
              <w:br w:type="textWrapping"/>
            </w:r>
            <w:r>
              <w:rPr>
                <w:rFonts w:ascii="宋体" w:hAnsi="宋体"/>
                <w:color w:val="000000"/>
                <w:sz w:val="22"/>
                <w:szCs w:val="22"/>
                <w:lang w:bidi="en-US"/>
              </w:rPr>
              <w:t>（2）重保期间根据采购人要求安排安全人员值守以及值守期间应急事件处理</w:t>
            </w:r>
            <w:r>
              <w:rPr>
                <w:rFonts w:hint="eastAsia" w:ascii="宋体" w:hAnsi="宋体"/>
                <w:color w:val="000000"/>
                <w:sz w:val="22"/>
                <w:szCs w:val="22"/>
                <w:lang w:bidi="en-US"/>
              </w:rPr>
              <w:t>；</w:t>
            </w:r>
            <w:r>
              <w:rPr>
                <w:rFonts w:ascii="宋体" w:hAnsi="宋体"/>
                <w:color w:val="000000"/>
                <w:sz w:val="22"/>
                <w:szCs w:val="22"/>
                <w:lang w:bidi="en-US"/>
              </w:rPr>
              <w:br w:type="textWrapping"/>
            </w:r>
            <w:r>
              <w:rPr>
                <w:rFonts w:ascii="宋体" w:hAnsi="宋体"/>
                <w:color w:val="000000"/>
                <w:sz w:val="22"/>
                <w:szCs w:val="22"/>
                <w:lang w:bidi="en-US"/>
              </w:rPr>
              <w:t>（3）重保后进行总结，安全态势分析。</w:t>
            </w:r>
          </w:p>
        </w:tc>
      </w:tr>
      <w:tr w14:paraId="7BC3BA67">
        <w:tblPrEx>
          <w:tblCellMar>
            <w:top w:w="0" w:type="dxa"/>
            <w:left w:w="108" w:type="dxa"/>
            <w:bottom w:w="0" w:type="dxa"/>
            <w:right w:w="108" w:type="dxa"/>
          </w:tblCellMar>
        </w:tblPrEx>
        <w:trPr>
          <w:trHeight w:val="864" w:hRule="atLeast"/>
        </w:trPr>
        <w:tc>
          <w:tcPr>
            <w:tcW w:w="1404" w:type="dxa"/>
            <w:vMerge w:val="continue"/>
            <w:tcBorders>
              <w:top w:val="single" w:color="000000" w:sz="4" w:space="0"/>
              <w:left w:val="single" w:color="000000" w:sz="4" w:space="0"/>
              <w:bottom w:val="single" w:color="000000" w:sz="4" w:space="0"/>
              <w:right w:val="single" w:color="000000" w:sz="4" w:space="0"/>
            </w:tcBorders>
            <w:vAlign w:val="center"/>
          </w:tcPr>
          <w:p w14:paraId="561A7E72">
            <w:pPr>
              <w:jc w:val="center"/>
              <w:rPr>
                <w:rFonts w:hint="eastAsia" w:ascii="宋体" w:hAnsi="宋体"/>
                <w:color w:val="000000"/>
                <w:sz w:val="22"/>
                <w:szCs w:val="22"/>
              </w:rPr>
            </w:pPr>
          </w:p>
        </w:tc>
        <w:tc>
          <w:tcPr>
            <w:tcW w:w="1501" w:type="dxa"/>
            <w:tcBorders>
              <w:top w:val="single" w:color="000000" w:sz="4" w:space="0"/>
              <w:left w:val="single" w:color="000000" w:sz="4" w:space="0"/>
              <w:bottom w:val="single" w:color="000000" w:sz="4" w:space="0"/>
              <w:right w:val="single" w:color="000000" w:sz="4" w:space="0"/>
            </w:tcBorders>
            <w:vAlign w:val="center"/>
          </w:tcPr>
          <w:p w14:paraId="5171CEF4">
            <w:pPr>
              <w:widowControl/>
              <w:jc w:val="center"/>
              <w:rPr>
                <w:rFonts w:hint="eastAsia" w:ascii="宋体" w:hAnsi="宋体"/>
                <w:color w:val="000000"/>
                <w:sz w:val="22"/>
                <w:szCs w:val="22"/>
              </w:rPr>
            </w:pPr>
            <w:r>
              <w:rPr>
                <w:rFonts w:ascii="宋体" w:hAnsi="宋体"/>
                <w:color w:val="000000"/>
                <w:sz w:val="22"/>
                <w:szCs w:val="22"/>
                <w:lang w:bidi="en-US"/>
              </w:rPr>
              <w:t>2.合规迎检配合</w:t>
            </w:r>
          </w:p>
        </w:tc>
        <w:tc>
          <w:tcPr>
            <w:tcW w:w="6444" w:type="dxa"/>
            <w:tcBorders>
              <w:top w:val="single" w:color="000000" w:sz="4" w:space="0"/>
              <w:left w:val="single" w:color="000000" w:sz="4" w:space="0"/>
              <w:bottom w:val="single" w:color="000000" w:sz="4" w:space="0"/>
              <w:right w:val="single" w:color="000000" w:sz="4" w:space="0"/>
            </w:tcBorders>
            <w:vAlign w:val="center"/>
          </w:tcPr>
          <w:p w14:paraId="161D43EE">
            <w:pPr>
              <w:widowControl/>
              <w:jc w:val="left"/>
              <w:rPr>
                <w:rFonts w:hint="eastAsia" w:ascii="宋体" w:hAnsi="宋体"/>
                <w:color w:val="000000"/>
                <w:sz w:val="22"/>
                <w:szCs w:val="22"/>
              </w:rPr>
            </w:pPr>
            <w:r>
              <w:rPr>
                <w:rFonts w:ascii="宋体" w:hAnsi="宋体"/>
                <w:color w:val="000000"/>
                <w:sz w:val="22"/>
                <w:szCs w:val="22"/>
                <w:lang w:bidi="en-US"/>
              </w:rPr>
              <w:t>配合组织网络安全主管单位（如：卫健委、公安、互联互通、电子病历、三甲复审等）开展的网络安全检查迎检工作，事前开展迎检自查、问题整改跟进，事中组织检查，事后组织迎检总结。</w:t>
            </w:r>
          </w:p>
        </w:tc>
      </w:tr>
      <w:tr w14:paraId="510B6A76">
        <w:tblPrEx>
          <w:tblCellMar>
            <w:top w:w="0" w:type="dxa"/>
            <w:left w:w="108" w:type="dxa"/>
            <w:bottom w:w="0" w:type="dxa"/>
            <w:right w:w="108" w:type="dxa"/>
          </w:tblCellMar>
        </w:tblPrEx>
        <w:trPr>
          <w:trHeight w:val="576" w:hRule="atLeast"/>
        </w:trPr>
        <w:tc>
          <w:tcPr>
            <w:tcW w:w="1404" w:type="dxa"/>
            <w:vMerge w:val="continue"/>
            <w:tcBorders>
              <w:top w:val="single" w:color="000000" w:sz="4" w:space="0"/>
              <w:left w:val="single" w:color="000000" w:sz="4" w:space="0"/>
              <w:bottom w:val="single" w:color="000000" w:sz="4" w:space="0"/>
              <w:right w:val="single" w:color="000000" w:sz="4" w:space="0"/>
            </w:tcBorders>
            <w:vAlign w:val="center"/>
          </w:tcPr>
          <w:p w14:paraId="1ED3036C">
            <w:pPr>
              <w:jc w:val="center"/>
              <w:rPr>
                <w:rFonts w:hint="eastAsia" w:ascii="宋体" w:hAnsi="宋体"/>
                <w:color w:val="000000"/>
                <w:sz w:val="22"/>
                <w:szCs w:val="22"/>
              </w:rPr>
            </w:pPr>
          </w:p>
        </w:tc>
        <w:tc>
          <w:tcPr>
            <w:tcW w:w="1501" w:type="dxa"/>
            <w:tcBorders>
              <w:top w:val="single" w:color="000000" w:sz="4" w:space="0"/>
              <w:left w:val="single" w:color="000000" w:sz="4" w:space="0"/>
              <w:bottom w:val="single" w:color="000000" w:sz="4" w:space="0"/>
              <w:right w:val="single" w:color="000000" w:sz="4" w:space="0"/>
            </w:tcBorders>
            <w:vAlign w:val="center"/>
          </w:tcPr>
          <w:p w14:paraId="2036FF68">
            <w:pPr>
              <w:widowControl/>
              <w:jc w:val="center"/>
              <w:rPr>
                <w:rFonts w:hint="eastAsia" w:ascii="宋体" w:hAnsi="宋体"/>
                <w:color w:val="000000"/>
                <w:sz w:val="22"/>
                <w:szCs w:val="22"/>
              </w:rPr>
            </w:pPr>
            <w:r>
              <w:rPr>
                <w:rFonts w:ascii="宋体" w:hAnsi="宋体"/>
                <w:color w:val="000000"/>
                <w:sz w:val="22"/>
                <w:szCs w:val="22"/>
                <w:lang w:bidi="en-US"/>
              </w:rPr>
              <w:t>3.护网专项保障</w:t>
            </w:r>
          </w:p>
        </w:tc>
        <w:tc>
          <w:tcPr>
            <w:tcW w:w="6444" w:type="dxa"/>
            <w:tcBorders>
              <w:top w:val="single" w:color="000000" w:sz="4" w:space="0"/>
              <w:left w:val="single" w:color="000000" w:sz="4" w:space="0"/>
              <w:bottom w:val="single" w:color="000000" w:sz="4" w:space="0"/>
              <w:right w:val="single" w:color="000000" w:sz="4" w:space="0"/>
            </w:tcBorders>
            <w:vAlign w:val="center"/>
          </w:tcPr>
          <w:p w14:paraId="78F102F5">
            <w:pPr>
              <w:widowControl/>
              <w:jc w:val="left"/>
              <w:rPr>
                <w:rFonts w:hint="eastAsia" w:ascii="宋体" w:hAnsi="宋体"/>
                <w:color w:val="000000"/>
                <w:sz w:val="22"/>
                <w:szCs w:val="22"/>
              </w:rPr>
            </w:pPr>
            <w:r>
              <w:rPr>
                <w:rFonts w:ascii="宋体" w:hAnsi="宋体"/>
                <w:color w:val="000000"/>
                <w:sz w:val="22"/>
                <w:szCs w:val="22"/>
                <w:lang w:bidi="en-US"/>
              </w:rPr>
              <w:t>参与各方监管部门组织的护网行动，对全网进行安全风险排查和整改，组织安全攻防演练。护网行动期间进行</w:t>
            </w:r>
            <w:r>
              <w:rPr>
                <w:rStyle w:val="242"/>
                <w:lang w:bidi="en-US"/>
              </w:rPr>
              <w:t xml:space="preserve">7*24 </w:t>
            </w:r>
            <w:r>
              <w:rPr>
                <w:rStyle w:val="243"/>
                <w:lang w:bidi="en-US"/>
              </w:rPr>
              <w:t>小时安全值守和安全事件处置。</w:t>
            </w:r>
          </w:p>
        </w:tc>
      </w:tr>
      <w:tr w14:paraId="25313633">
        <w:tblPrEx>
          <w:tblCellMar>
            <w:top w:w="0" w:type="dxa"/>
            <w:left w:w="108" w:type="dxa"/>
            <w:bottom w:w="0" w:type="dxa"/>
            <w:right w:w="108" w:type="dxa"/>
          </w:tblCellMar>
        </w:tblPrEx>
        <w:trPr>
          <w:trHeight w:val="312" w:hRule="atLeast"/>
        </w:trPr>
        <w:tc>
          <w:tcPr>
            <w:tcW w:w="9349" w:type="dxa"/>
            <w:gridSpan w:val="3"/>
            <w:tcBorders>
              <w:top w:val="single" w:color="000000" w:sz="4" w:space="0"/>
              <w:left w:val="single" w:color="000000" w:sz="4" w:space="0"/>
              <w:bottom w:val="single" w:color="000000" w:sz="4" w:space="0"/>
              <w:right w:val="single" w:color="000000" w:sz="4" w:space="0"/>
            </w:tcBorders>
            <w:vAlign w:val="bottom"/>
          </w:tcPr>
          <w:p w14:paraId="3E001BA4">
            <w:pPr>
              <w:widowControl/>
              <w:jc w:val="left"/>
              <w:rPr>
                <w:rFonts w:hint="eastAsia" w:ascii="宋体" w:hAnsi="宋体"/>
                <w:b/>
                <w:bCs/>
                <w:color w:val="000000"/>
                <w:sz w:val="24"/>
              </w:rPr>
            </w:pPr>
            <w:r>
              <w:rPr>
                <w:rFonts w:hint="eastAsia" w:ascii="宋体" w:hAnsi="宋体"/>
                <w:b/>
                <w:bCs/>
                <w:color w:val="000000"/>
                <w:sz w:val="24"/>
                <w:lang w:val="en-US" w:eastAsia="zh-CN" w:bidi="en-US"/>
              </w:rPr>
              <w:t>4</w:t>
            </w:r>
            <w:r>
              <w:rPr>
                <w:rFonts w:ascii="宋体" w:hAnsi="宋体"/>
                <w:b/>
                <w:bCs/>
                <w:color w:val="000000"/>
                <w:sz w:val="24"/>
                <w:lang w:bidi="en-US"/>
              </w:rPr>
              <w:t>.5安全培训体系建设</w:t>
            </w:r>
          </w:p>
        </w:tc>
      </w:tr>
      <w:tr w14:paraId="71959B2A">
        <w:tblPrEx>
          <w:tblCellMar>
            <w:top w:w="0" w:type="dxa"/>
            <w:left w:w="108" w:type="dxa"/>
            <w:bottom w:w="0" w:type="dxa"/>
            <w:right w:w="108" w:type="dxa"/>
          </w:tblCellMar>
        </w:tblPrEx>
        <w:trPr>
          <w:trHeight w:val="1440" w:hRule="atLeast"/>
        </w:trPr>
        <w:tc>
          <w:tcPr>
            <w:tcW w:w="1404" w:type="dxa"/>
            <w:vMerge w:val="restart"/>
            <w:tcBorders>
              <w:top w:val="single" w:color="000000" w:sz="4" w:space="0"/>
              <w:left w:val="single" w:color="000000" w:sz="4" w:space="0"/>
              <w:bottom w:val="nil"/>
              <w:right w:val="single" w:color="000000" w:sz="4" w:space="0"/>
            </w:tcBorders>
            <w:vAlign w:val="center"/>
          </w:tcPr>
          <w:p w14:paraId="6BF91146">
            <w:pPr>
              <w:widowControl/>
              <w:jc w:val="center"/>
              <w:rPr>
                <w:rFonts w:hint="eastAsia" w:ascii="宋体" w:hAnsi="宋体"/>
                <w:color w:val="000000"/>
                <w:sz w:val="22"/>
                <w:szCs w:val="22"/>
              </w:rPr>
            </w:pPr>
            <w:r>
              <w:rPr>
                <w:rFonts w:ascii="宋体" w:hAnsi="宋体"/>
                <w:color w:val="000000"/>
                <w:sz w:val="22"/>
                <w:szCs w:val="22"/>
                <w:lang w:bidi="en-US"/>
              </w:rPr>
              <w:t>安全培训体系</w:t>
            </w:r>
          </w:p>
        </w:tc>
        <w:tc>
          <w:tcPr>
            <w:tcW w:w="1501" w:type="dxa"/>
            <w:tcBorders>
              <w:top w:val="single" w:color="000000" w:sz="4" w:space="0"/>
              <w:left w:val="single" w:color="000000" w:sz="4" w:space="0"/>
              <w:bottom w:val="single" w:color="000000" w:sz="4" w:space="0"/>
              <w:right w:val="single" w:color="000000" w:sz="4" w:space="0"/>
            </w:tcBorders>
            <w:vAlign w:val="center"/>
          </w:tcPr>
          <w:p w14:paraId="4D18A6F6">
            <w:pPr>
              <w:widowControl/>
              <w:jc w:val="center"/>
              <w:rPr>
                <w:rFonts w:eastAsia="等线"/>
                <w:color w:val="000000"/>
                <w:sz w:val="22"/>
                <w:szCs w:val="22"/>
              </w:rPr>
            </w:pPr>
            <w:r>
              <w:rPr>
                <w:rStyle w:val="241"/>
                <w:lang w:bidi="en-US"/>
              </w:rPr>
              <w:t>1.开展安全意识培训</w:t>
            </w:r>
          </w:p>
        </w:tc>
        <w:tc>
          <w:tcPr>
            <w:tcW w:w="6444" w:type="dxa"/>
            <w:tcBorders>
              <w:top w:val="single" w:color="000000" w:sz="4" w:space="0"/>
              <w:left w:val="single" w:color="000000" w:sz="4" w:space="0"/>
              <w:bottom w:val="single" w:color="000000" w:sz="4" w:space="0"/>
              <w:right w:val="single" w:color="000000" w:sz="4" w:space="0"/>
            </w:tcBorders>
            <w:vAlign w:val="center"/>
          </w:tcPr>
          <w:p w14:paraId="45CA0103">
            <w:pPr>
              <w:widowControl/>
              <w:jc w:val="left"/>
              <w:rPr>
                <w:rFonts w:hint="eastAsia" w:ascii="宋体" w:hAnsi="宋体"/>
                <w:color w:val="000000"/>
                <w:sz w:val="22"/>
                <w:szCs w:val="22"/>
              </w:rPr>
            </w:pPr>
            <w:r>
              <w:rPr>
                <w:rFonts w:ascii="宋体" w:hAnsi="宋体"/>
                <w:color w:val="000000"/>
                <w:sz w:val="22"/>
                <w:szCs w:val="22"/>
                <w:lang w:bidi="en-US"/>
              </w:rPr>
              <w:t>（1）安全意识培训：对全体员工进行信息安全意识类的培训，包括政策法律法规解读、日常安全防范等，使员工在日常工作中提升信息安全意识</w:t>
            </w:r>
            <w:r>
              <w:rPr>
                <w:rFonts w:hint="eastAsia" w:ascii="宋体" w:hAnsi="宋体"/>
                <w:color w:val="000000"/>
                <w:sz w:val="22"/>
                <w:szCs w:val="22"/>
                <w:lang w:bidi="en-US"/>
              </w:rPr>
              <w:t>；</w:t>
            </w:r>
            <w:r>
              <w:rPr>
                <w:rFonts w:ascii="宋体" w:hAnsi="宋体"/>
                <w:color w:val="000000"/>
                <w:sz w:val="22"/>
                <w:szCs w:val="22"/>
                <w:lang w:bidi="en-US"/>
              </w:rPr>
              <w:br w:type="textWrapping"/>
            </w:r>
            <w:r>
              <w:rPr>
                <w:rFonts w:ascii="宋体" w:hAnsi="宋体"/>
                <w:color w:val="000000"/>
                <w:sz w:val="22"/>
                <w:szCs w:val="22"/>
                <w:lang w:bidi="en-US"/>
              </w:rPr>
              <w:t>（2）钓鱼演练培训：面对采购方员工与供应链合作商，开展一次安全意识和反钓鱼演练及培训，针对包括但不限于链接钓鱼、数据泄露钓鱼、二维码钓鱼、附件钓鱼、日历钓鱼等场景开展演练。</w:t>
            </w:r>
          </w:p>
        </w:tc>
      </w:tr>
      <w:tr w14:paraId="6C237A33">
        <w:tblPrEx>
          <w:tblCellMar>
            <w:top w:w="0" w:type="dxa"/>
            <w:left w:w="108" w:type="dxa"/>
            <w:bottom w:w="0" w:type="dxa"/>
            <w:right w:w="108" w:type="dxa"/>
          </w:tblCellMar>
        </w:tblPrEx>
        <w:trPr>
          <w:trHeight w:val="1152" w:hRule="atLeast"/>
        </w:trPr>
        <w:tc>
          <w:tcPr>
            <w:tcW w:w="1404" w:type="dxa"/>
            <w:vMerge w:val="continue"/>
            <w:tcBorders>
              <w:top w:val="nil"/>
              <w:left w:val="single" w:color="000000" w:sz="4" w:space="0"/>
              <w:bottom w:val="nil"/>
              <w:right w:val="single" w:color="000000" w:sz="4" w:space="0"/>
            </w:tcBorders>
            <w:vAlign w:val="center"/>
          </w:tcPr>
          <w:p w14:paraId="136E9A9D">
            <w:pPr>
              <w:jc w:val="center"/>
              <w:rPr>
                <w:rFonts w:hint="eastAsia" w:ascii="宋体" w:hAnsi="宋体"/>
                <w:color w:val="000000"/>
                <w:sz w:val="22"/>
                <w:szCs w:val="22"/>
              </w:rPr>
            </w:pPr>
          </w:p>
        </w:tc>
        <w:tc>
          <w:tcPr>
            <w:tcW w:w="1501" w:type="dxa"/>
            <w:tcBorders>
              <w:top w:val="single" w:color="000000" w:sz="4" w:space="0"/>
              <w:left w:val="single" w:color="000000" w:sz="4" w:space="0"/>
              <w:bottom w:val="single" w:color="000000" w:sz="4" w:space="0"/>
              <w:right w:val="single" w:color="000000" w:sz="4" w:space="0"/>
            </w:tcBorders>
            <w:vAlign w:val="center"/>
          </w:tcPr>
          <w:p w14:paraId="152E325C">
            <w:pPr>
              <w:widowControl/>
              <w:jc w:val="center"/>
              <w:rPr>
                <w:rFonts w:eastAsia="等线"/>
                <w:color w:val="000000"/>
                <w:sz w:val="22"/>
                <w:szCs w:val="22"/>
              </w:rPr>
            </w:pPr>
            <w:r>
              <w:rPr>
                <w:rStyle w:val="241"/>
                <w:lang w:bidi="en-US"/>
              </w:rPr>
              <w:t>2.讲授安全技能培训</w:t>
            </w:r>
          </w:p>
        </w:tc>
        <w:tc>
          <w:tcPr>
            <w:tcW w:w="6444" w:type="dxa"/>
            <w:tcBorders>
              <w:top w:val="single" w:color="000000" w:sz="4" w:space="0"/>
              <w:left w:val="single" w:color="000000" w:sz="4" w:space="0"/>
              <w:bottom w:val="single" w:color="000000" w:sz="4" w:space="0"/>
              <w:right w:val="single" w:color="000000" w:sz="4" w:space="0"/>
            </w:tcBorders>
            <w:vAlign w:val="center"/>
          </w:tcPr>
          <w:p w14:paraId="284EA52D">
            <w:pPr>
              <w:widowControl/>
              <w:jc w:val="left"/>
              <w:rPr>
                <w:rFonts w:hint="eastAsia" w:ascii="宋体" w:hAnsi="宋体"/>
                <w:color w:val="000000"/>
                <w:sz w:val="22"/>
                <w:szCs w:val="22"/>
              </w:rPr>
            </w:pPr>
            <w:r>
              <w:rPr>
                <w:rFonts w:ascii="宋体" w:hAnsi="宋体"/>
                <w:color w:val="000000"/>
                <w:sz w:val="22"/>
                <w:szCs w:val="22"/>
                <w:lang w:bidi="en-US"/>
              </w:rPr>
              <w:t>重点讲授路由交换管理、渗透测试、漏洞扫描、安全加固、</w:t>
            </w:r>
            <w:r>
              <w:rPr>
                <w:rStyle w:val="244"/>
                <w:lang w:bidi="en-US"/>
              </w:rPr>
              <w:t>web</w:t>
            </w:r>
            <w:r>
              <w:rPr>
                <w:rStyle w:val="241"/>
                <w:lang w:bidi="en-US"/>
              </w:rPr>
              <w:t>安全技术、移动应用安全技术等技术与管理的知识，通过案例分享，解决</w:t>
            </w:r>
            <w:r>
              <w:rPr>
                <w:rStyle w:val="244"/>
                <w:lang w:bidi="en-US"/>
              </w:rPr>
              <w:t>IT</w:t>
            </w:r>
            <w:r>
              <w:rPr>
                <w:rStyle w:val="241"/>
                <w:lang w:bidi="en-US"/>
              </w:rPr>
              <w:t>人员在日常工作过程中遇到的信息安全方面各种困惑与难点，帮助IT人员在信息化建设过程中提高网络安全水平及防护能力</w:t>
            </w:r>
            <w:r>
              <w:rPr>
                <w:rStyle w:val="241"/>
                <w:rFonts w:hint="eastAsia"/>
                <w:lang w:bidi="en-US"/>
              </w:rPr>
              <w:t>，培训结束后开展综合考核，检验学员知识掌握与实操应用能力，巩固培训学习成效。</w:t>
            </w:r>
          </w:p>
        </w:tc>
      </w:tr>
      <w:tr w14:paraId="226E30DF">
        <w:tblPrEx>
          <w:tblCellMar>
            <w:top w:w="0" w:type="dxa"/>
            <w:left w:w="108" w:type="dxa"/>
            <w:bottom w:w="0" w:type="dxa"/>
            <w:right w:w="108" w:type="dxa"/>
          </w:tblCellMar>
        </w:tblPrEx>
        <w:trPr>
          <w:trHeight w:val="1152" w:hRule="atLeast"/>
        </w:trPr>
        <w:tc>
          <w:tcPr>
            <w:tcW w:w="1404" w:type="dxa"/>
            <w:vMerge w:val="continue"/>
            <w:tcBorders>
              <w:top w:val="nil"/>
              <w:left w:val="single" w:color="000000" w:sz="4" w:space="0"/>
              <w:bottom w:val="single" w:color="000000" w:sz="4" w:space="0"/>
              <w:right w:val="single" w:color="000000" w:sz="4" w:space="0"/>
            </w:tcBorders>
            <w:vAlign w:val="center"/>
          </w:tcPr>
          <w:p w14:paraId="2813E1FA">
            <w:pPr>
              <w:jc w:val="center"/>
              <w:rPr>
                <w:rFonts w:hint="eastAsia" w:ascii="宋体" w:hAnsi="宋体"/>
                <w:color w:val="000000"/>
                <w:sz w:val="22"/>
                <w:szCs w:val="22"/>
              </w:rPr>
            </w:pPr>
          </w:p>
        </w:tc>
        <w:tc>
          <w:tcPr>
            <w:tcW w:w="1501" w:type="dxa"/>
            <w:tcBorders>
              <w:top w:val="single" w:color="000000" w:sz="4" w:space="0"/>
              <w:left w:val="single" w:color="000000" w:sz="4" w:space="0"/>
              <w:bottom w:val="single" w:color="000000" w:sz="4" w:space="0"/>
              <w:right w:val="single" w:color="000000" w:sz="4" w:space="0"/>
            </w:tcBorders>
            <w:vAlign w:val="center"/>
          </w:tcPr>
          <w:p w14:paraId="1DD0F995">
            <w:pPr>
              <w:widowControl/>
              <w:jc w:val="center"/>
              <w:rPr>
                <w:rStyle w:val="241"/>
                <w:rFonts w:hint="eastAsia"/>
                <w:lang w:bidi="en-US"/>
              </w:rPr>
            </w:pPr>
            <w:r>
              <w:rPr>
                <w:rStyle w:val="241"/>
                <w:lang w:bidi="en-US"/>
              </w:rPr>
              <w:t>3.网络安全宣传周</w:t>
            </w:r>
          </w:p>
        </w:tc>
        <w:tc>
          <w:tcPr>
            <w:tcW w:w="6444" w:type="dxa"/>
            <w:tcBorders>
              <w:top w:val="single" w:color="000000" w:sz="4" w:space="0"/>
              <w:left w:val="single" w:color="000000" w:sz="4" w:space="0"/>
              <w:bottom w:val="single" w:color="000000" w:sz="4" w:space="0"/>
              <w:right w:val="single" w:color="000000" w:sz="4" w:space="0"/>
            </w:tcBorders>
            <w:vAlign w:val="center"/>
          </w:tcPr>
          <w:p w14:paraId="750380B9">
            <w:pPr>
              <w:widowControl/>
              <w:jc w:val="left"/>
              <w:rPr>
                <w:rFonts w:hint="eastAsia" w:ascii="宋体" w:hAnsi="宋体"/>
                <w:color w:val="000000"/>
                <w:sz w:val="22"/>
                <w:szCs w:val="22"/>
                <w:lang w:bidi="en-US"/>
              </w:rPr>
            </w:pPr>
            <w:r>
              <w:rPr>
                <w:rFonts w:ascii="宋体" w:hAnsi="宋体"/>
                <w:color w:val="000000"/>
                <w:sz w:val="22"/>
                <w:szCs w:val="22"/>
                <w:lang w:bidi="en-US"/>
              </w:rPr>
              <w:t>根据采购人要求组织开展网络安全宣传周活动，提升全院网络安全意识和防护技能，调研符合现网环境与整体职工安全意识薄弱环节，开展形式含线上竞赛、现场推广等，促进职工积极参与，并在活动结束后形成总结。</w:t>
            </w:r>
          </w:p>
        </w:tc>
      </w:tr>
    </w:tbl>
    <w:p w14:paraId="60D2EEBD">
      <w:pPr>
        <w:spacing w:line="360" w:lineRule="auto"/>
        <w:ind w:firstLine="480" w:firstLineChars="200"/>
        <w:rPr>
          <w:rFonts w:ascii="宋体" w:hAnsi="宋体"/>
          <w:color w:val="000000"/>
          <w:sz w:val="24"/>
        </w:rPr>
      </w:pPr>
      <w:commentRangeStart w:id="2"/>
      <w:commentRangeStart w:id="3"/>
      <w:r>
        <w:rPr>
          <w:rFonts w:ascii="宋体" w:hAnsi="宋体"/>
          <w:color w:val="000000"/>
          <w:sz w:val="24"/>
        </w:rPr>
        <w:t>供应商应承诺在服务期满后，在需要进行服务团队切换时，给予采购人和相关方必要的技术支持和培训。</w:t>
      </w:r>
      <w:commentRangeEnd w:id="2"/>
      <w:r>
        <w:commentReference w:id="2"/>
      </w:r>
      <w:commentRangeEnd w:id="3"/>
      <w:r>
        <w:commentReference w:id="3"/>
      </w:r>
    </w:p>
    <w:p w14:paraId="3BB0828C">
      <w:pPr>
        <w:spacing w:line="360" w:lineRule="auto"/>
        <w:rPr>
          <w:rFonts w:hint="eastAsia" w:asciiTheme="minorEastAsia" w:hAnsiTheme="minorEastAsia" w:eastAsiaTheme="minorEastAsia" w:cstheme="minorEastAsia"/>
          <w:b/>
          <w:bCs/>
          <w:color w:val="000000"/>
          <w:sz w:val="24"/>
          <w:lang w:val="en-US" w:eastAsia="zh-CN"/>
        </w:rPr>
      </w:pPr>
      <w:r>
        <w:rPr>
          <w:rFonts w:hint="eastAsia" w:asciiTheme="minorEastAsia" w:hAnsiTheme="minorEastAsia" w:eastAsiaTheme="minorEastAsia" w:cstheme="minorEastAsia"/>
          <w:b/>
          <w:bCs/>
          <w:color w:val="000000"/>
          <w:sz w:val="24"/>
          <w:lang w:val="en-US" w:eastAsia="zh-CN"/>
        </w:rPr>
        <w:t>5.商务要求</w:t>
      </w:r>
    </w:p>
    <w:p w14:paraId="5304156D">
      <w:pPr>
        <w:pStyle w:val="4"/>
        <w:rPr>
          <w:color w:val="000000"/>
        </w:rPr>
      </w:pPr>
      <w:r>
        <w:rPr>
          <w:rFonts w:hint="eastAsia"/>
          <w:color w:val="000000"/>
          <w:lang w:val="en-US" w:eastAsia="zh-CN"/>
        </w:rPr>
        <w:t>5.1</w:t>
      </w:r>
      <w:r>
        <w:rPr>
          <w:color w:val="000000"/>
        </w:rPr>
        <w:t>服务方式</w:t>
      </w:r>
    </w:p>
    <w:p w14:paraId="5EB6D48E">
      <w:pPr>
        <w:spacing w:line="360" w:lineRule="auto"/>
        <w:ind w:firstLine="480" w:firstLineChars="200"/>
        <w:rPr>
          <w:rFonts w:hint="eastAsia" w:ascii="宋体" w:hAnsi="宋体"/>
          <w:color w:val="000000"/>
          <w:sz w:val="24"/>
        </w:rPr>
      </w:pPr>
      <w:r>
        <w:rPr>
          <w:rFonts w:ascii="宋体" w:hAnsi="宋体"/>
          <w:color w:val="000000"/>
          <w:sz w:val="24"/>
        </w:rPr>
        <w:t>本次维护项目以完全服务外包，并采用驻场/机动混合服务模式。</w:t>
      </w:r>
    </w:p>
    <w:p w14:paraId="27054340">
      <w:pPr>
        <w:spacing w:line="360" w:lineRule="auto"/>
        <w:ind w:firstLine="480" w:firstLineChars="200"/>
        <w:rPr>
          <w:rFonts w:hint="eastAsia" w:ascii="宋体" w:hAnsi="宋体"/>
          <w:color w:val="000000"/>
          <w:sz w:val="24"/>
        </w:rPr>
      </w:pPr>
      <w:r>
        <w:rPr>
          <w:rFonts w:ascii="宋体" w:hAnsi="宋体"/>
          <w:color w:val="000000"/>
          <w:sz w:val="24"/>
        </w:rPr>
        <w:t>服务方式可分为咨询服务、技能培训、漏洞扫描、渗透测试、5×8小时驻场服务、7×24小时应急响应、巡检服务和专项服务等。</w:t>
      </w:r>
    </w:p>
    <w:p w14:paraId="0FF1A4CD">
      <w:pPr>
        <w:pStyle w:val="4"/>
        <w:rPr>
          <w:color w:val="000000"/>
        </w:rPr>
      </w:pPr>
      <w:r>
        <w:rPr>
          <w:rFonts w:hint="eastAsia"/>
          <w:color w:val="000000"/>
          <w:lang w:val="en-US" w:eastAsia="zh-CN"/>
        </w:rPr>
        <w:t>5.2</w:t>
      </w:r>
      <w:commentRangeStart w:id="4"/>
      <w:commentRangeStart w:id="5"/>
      <w:r>
        <w:rPr>
          <w:color w:val="000000"/>
        </w:rPr>
        <w:t>服务单位及团队要求</w:t>
      </w:r>
      <w:commentRangeEnd w:id="4"/>
      <w:r>
        <w:commentReference w:id="4"/>
      </w:r>
      <w:commentRangeEnd w:id="5"/>
      <w:r>
        <w:commentReference w:id="5"/>
      </w:r>
    </w:p>
    <w:p w14:paraId="444C08F1">
      <w:pPr>
        <w:spacing w:line="360" w:lineRule="auto"/>
        <w:ind w:firstLine="480"/>
        <w:rPr>
          <w:rFonts w:ascii="宋体"/>
          <w:color w:val="000000"/>
          <w:sz w:val="24"/>
        </w:rPr>
      </w:pPr>
      <w:r>
        <w:rPr>
          <w:rFonts w:ascii="宋体"/>
          <w:color w:val="000000"/>
          <w:sz w:val="24"/>
        </w:rPr>
        <w:t>★在合同期间，应保证项目团队成员相对固定，中选人未经允许不可随意更换团队项目负责人、工程师，禁止任何变相更换团队人员的行为(除离职、病假、产假等法定情形外)，否则，采购人有权终止项目并收取合同金额10%的违约金。</w:t>
      </w:r>
    </w:p>
    <w:p w14:paraId="33FFCF6E">
      <w:pPr>
        <w:spacing w:line="360" w:lineRule="auto"/>
        <w:rPr>
          <w:rFonts w:ascii="宋体"/>
          <w:b/>
          <w:color w:val="000000"/>
          <w:sz w:val="24"/>
        </w:rPr>
      </w:pPr>
      <w:r>
        <w:rPr>
          <w:rFonts w:ascii="宋体"/>
          <w:b/>
          <w:color w:val="000000"/>
          <w:sz w:val="24"/>
        </w:rPr>
        <w:t>注：以上服务团队成员</w:t>
      </w:r>
      <w:r>
        <w:rPr>
          <w:rFonts w:ascii="宋体" w:hAnsi="宋体"/>
          <w:b/>
          <w:bCs/>
          <w:sz w:val="24"/>
        </w:rPr>
        <w:t>不能重复</w:t>
      </w:r>
      <w:r>
        <w:rPr>
          <w:rFonts w:ascii="宋体"/>
          <w:b/>
          <w:color w:val="000000"/>
          <w:sz w:val="24"/>
        </w:rPr>
        <w:t>，提供相应证书和响应截止时间前六个月内任意一个月社保证明，服务团队在合同期内不得擅自变更。</w:t>
      </w:r>
    </w:p>
    <w:p w14:paraId="77C58C8B">
      <w:pPr>
        <w:pStyle w:val="4"/>
        <w:rPr>
          <w:color w:val="000000"/>
        </w:rPr>
      </w:pPr>
      <w:r>
        <w:rPr>
          <w:rFonts w:hint="eastAsia"/>
          <w:color w:val="000000"/>
          <w:lang w:val="en-US" w:eastAsia="zh-CN"/>
        </w:rPr>
        <w:t>5.3</w:t>
      </w:r>
      <w:r>
        <w:rPr>
          <w:color w:val="000000"/>
        </w:rPr>
        <w:t>服务保障要求</w:t>
      </w:r>
    </w:p>
    <w:p w14:paraId="70ADABAD">
      <w:pPr>
        <w:pStyle w:val="228"/>
        <w:spacing w:before="156" w:after="156"/>
        <w:ind w:firstLine="480"/>
        <w:rPr>
          <w:rFonts w:hint="eastAsia" w:ascii="宋体" w:hAnsi="宋体"/>
          <w:color w:val="000000"/>
          <w:sz w:val="24"/>
          <w:szCs w:val="24"/>
        </w:rPr>
      </w:pPr>
      <w:r>
        <w:rPr>
          <w:rFonts w:ascii="宋体" w:hAnsi="宋体"/>
          <w:color w:val="000000"/>
          <w:sz w:val="24"/>
          <w:szCs w:val="24"/>
        </w:rPr>
        <w:t>供应商制定相关服务要求，驻场运维服务人员任务分工明确合理，应努力做到精通业务、吃苦耐劳、文明礼貌，遵守采购人信息管理部门制定的值班规定和文明准则。</w:t>
      </w:r>
    </w:p>
    <w:p w14:paraId="519FFD5D">
      <w:pPr>
        <w:pStyle w:val="228"/>
        <w:spacing w:before="156" w:after="156"/>
        <w:ind w:firstLine="630" w:firstLineChars="300"/>
        <w:rPr>
          <w:rFonts w:hint="eastAsia" w:ascii="宋体" w:hAnsi="宋体"/>
          <w:color w:val="000000"/>
          <w:sz w:val="24"/>
          <w:szCs w:val="24"/>
        </w:rPr>
      </w:pPr>
      <w:r>
        <w:t>▲</w:t>
      </w:r>
      <w:r>
        <w:rPr>
          <w:rFonts w:ascii="宋体" w:hAnsi="宋体"/>
          <w:color w:val="000000"/>
          <w:sz w:val="24"/>
          <w:szCs w:val="24"/>
        </w:rPr>
        <w:t>（一）基本要求如下</w:t>
      </w:r>
    </w:p>
    <w:p w14:paraId="01C7B9D2">
      <w:pPr>
        <w:spacing w:line="360" w:lineRule="auto"/>
        <w:ind w:firstLine="480" w:firstLineChars="200"/>
        <w:rPr>
          <w:rFonts w:hint="eastAsia" w:ascii="宋体" w:hAnsi="宋体"/>
          <w:color w:val="000000"/>
          <w:sz w:val="24"/>
        </w:rPr>
      </w:pPr>
      <w:r>
        <w:rPr>
          <w:rFonts w:ascii="宋体" w:hAnsi="宋体"/>
          <w:color w:val="000000"/>
          <w:sz w:val="24"/>
        </w:rPr>
        <w:t>1.驻场人员工作时间需参考采购人的工作时间。</w:t>
      </w:r>
    </w:p>
    <w:p w14:paraId="66306961">
      <w:pPr>
        <w:spacing w:line="360" w:lineRule="auto"/>
        <w:ind w:firstLine="480" w:firstLineChars="200"/>
        <w:rPr>
          <w:rFonts w:hint="eastAsia" w:ascii="宋体" w:hAnsi="宋体"/>
          <w:color w:val="000000"/>
          <w:sz w:val="24"/>
        </w:rPr>
      </w:pPr>
      <w:r>
        <w:rPr>
          <w:rFonts w:ascii="宋体" w:hAnsi="宋体"/>
          <w:color w:val="000000"/>
          <w:sz w:val="24"/>
        </w:rPr>
        <w:t>2.驻场人员的管理参考采购人信息管理部门的考勤制度，驻场人员在工作期间，不得迟到、早退和旷工。</w:t>
      </w:r>
    </w:p>
    <w:p w14:paraId="6A47A201">
      <w:pPr>
        <w:spacing w:line="360" w:lineRule="auto"/>
        <w:ind w:firstLine="480" w:firstLineChars="200"/>
        <w:rPr>
          <w:rFonts w:hint="eastAsia" w:ascii="宋体" w:hAnsi="宋体"/>
          <w:color w:val="000000"/>
          <w:sz w:val="24"/>
        </w:rPr>
      </w:pPr>
      <w:r>
        <w:rPr>
          <w:rFonts w:ascii="宋体" w:hAnsi="宋体"/>
          <w:color w:val="000000"/>
          <w:sz w:val="24"/>
        </w:rPr>
        <w:t>3.驻场人员工作期间每月不多于2天（含）的请假，在不影响工作进度安排的情况下，必须提前24 小时请假并完成工作交接，工作交接按采购人信息管理部门工作交接流程执行。</w:t>
      </w:r>
    </w:p>
    <w:p w14:paraId="591EE331">
      <w:pPr>
        <w:spacing w:line="360" w:lineRule="auto"/>
        <w:ind w:firstLine="480" w:firstLineChars="200"/>
        <w:rPr>
          <w:rFonts w:hint="eastAsia" w:ascii="宋体" w:hAnsi="宋体"/>
          <w:color w:val="000000"/>
          <w:sz w:val="24"/>
        </w:rPr>
      </w:pPr>
      <w:r>
        <w:rPr>
          <w:rFonts w:ascii="宋体" w:hAnsi="宋体"/>
          <w:color w:val="000000"/>
          <w:sz w:val="24"/>
        </w:rPr>
        <w:t>4.驻场人员在工作期间的每次休假（多于2 天的），在不影响工作进度安排的情况下，须提前至少1周向采购人信息管理部门提出申请并完成工作交接，工作交接按采购人信息管理部门工作交接流程执行。确认工作交接后，经采购人信息管理部门审批后方可连续请假，否则按违约处理。</w:t>
      </w:r>
    </w:p>
    <w:p w14:paraId="10FEBF0C">
      <w:pPr>
        <w:spacing w:line="360" w:lineRule="auto"/>
        <w:ind w:firstLine="480" w:firstLineChars="200"/>
        <w:rPr>
          <w:rFonts w:hint="eastAsia" w:ascii="宋体" w:hAnsi="宋体"/>
          <w:color w:val="000000"/>
          <w:sz w:val="24"/>
        </w:rPr>
      </w:pPr>
      <w:r>
        <w:rPr>
          <w:rFonts w:ascii="宋体" w:hAnsi="宋体"/>
          <w:color w:val="000000"/>
          <w:sz w:val="24"/>
        </w:rPr>
        <w:t>5.供应商须根据采购人信息管理部门的要求对驻场人员的工作时长进行必要的调整，并参考采购人信息管理部门的考勤管理规定给予调休，调休需办理工作交接手续，及向采购人信息管理部门办理调休申请审批手续。</w:t>
      </w:r>
    </w:p>
    <w:p w14:paraId="17F3E696">
      <w:pPr>
        <w:pStyle w:val="228"/>
        <w:spacing w:before="156" w:after="156"/>
        <w:ind w:firstLine="480"/>
        <w:rPr>
          <w:rFonts w:hint="eastAsia" w:ascii="宋体" w:hAnsi="宋体"/>
          <w:color w:val="000000"/>
          <w:sz w:val="24"/>
          <w:szCs w:val="24"/>
        </w:rPr>
      </w:pPr>
      <w:r>
        <w:rPr>
          <w:rFonts w:ascii="宋体" w:hAnsi="宋体"/>
          <w:color w:val="000000"/>
          <w:sz w:val="24"/>
          <w:szCs w:val="24"/>
        </w:rPr>
        <w:t>6.对驻场人员的管理和考核均参照采购人信息管理部门员工的管理和考核办法执行。</w:t>
      </w:r>
    </w:p>
    <w:p w14:paraId="02E1B6F4">
      <w:pPr>
        <w:pStyle w:val="228"/>
        <w:spacing w:before="156" w:after="156"/>
        <w:ind w:firstLine="480"/>
        <w:rPr>
          <w:rFonts w:hint="eastAsia" w:ascii="宋体" w:hAnsi="宋体"/>
          <w:color w:val="000000"/>
          <w:sz w:val="24"/>
          <w:szCs w:val="24"/>
        </w:rPr>
      </w:pPr>
      <w:r>
        <w:rPr>
          <w:rFonts w:ascii="宋体" w:hAnsi="宋体"/>
          <w:color w:val="000000"/>
          <w:sz w:val="24"/>
          <w:szCs w:val="24"/>
        </w:rPr>
        <w:t>7.在合同期间，供应商应保证服务人员的稳定，除离职外，不能进行人员调整，如果有因离职引起的调整，需提前书面告知采购人，并安排一个月的交接期，如采购人对服务人员不满意，供应商必须更换,并在通过采购人审核后方能安排新人入场，新人未入场时，原服务人员未经采购人允许不得变更</w:t>
      </w:r>
    </w:p>
    <w:p w14:paraId="2834536F">
      <w:pPr>
        <w:pStyle w:val="228"/>
        <w:spacing w:before="156" w:after="156"/>
        <w:ind w:firstLine="480"/>
        <w:rPr>
          <w:rFonts w:hint="eastAsia" w:ascii="宋体" w:hAnsi="宋体"/>
          <w:color w:val="000000"/>
          <w:sz w:val="24"/>
          <w:szCs w:val="24"/>
        </w:rPr>
      </w:pPr>
      <w:r>
        <w:rPr>
          <w:rFonts w:ascii="宋体" w:hAnsi="宋体"/>
          <w:color w:val="000000"/>
          <w:sz w:val="24"/>
          <w:szCs w:val="24"/>
        </w:rPr>
        <w:t>8．所有驻场公司、驻场人员要跟采购人签保密协议</w:t>
      </w:r>
    </w:p>
    <w:p w14:paraId="7A7183EB">
      <w:pPr>
        <w:pStyle w:val="228"/>
        <w:spacing w:before="156" w:after="156"/>
        <w:ind w:firstLine="480"/>
        <w:rPr>
          <w:rFonts w:ascii="宋体" w:hAnsi="宋体"/>
          <w:color w:val="000000"/>
          <w:sz w:val="24"/>
          <w:szCs w:val="24"/>
        </w:rPr>
      </w:pPr>
      <w:r>
        <w:rPr>
          <w:rFonts w:ascii="宋体" w:hAnsi="宋体"/>
          <w:color w:val="000000"/>
          <w:sz w:val="24"/>
          <w:szCs w:val="24"/>
        </w:rPr>
        <w:t>9.供应商按驻场服务工作对驻场人员进行考核，采购人按季度进行评价；内容包含工作计划执行情况（现场响应、电话支持）、服务响应时间、服务效率（故障排查效率）、服务质量、服务满意等，评价结果不合格时，采购人有权进行单方解除本协议，每季度的考核处理应由采购人决定，供应商可依法在采购人作出决定之日起2日内提出书面异议，否则视为供应商认可采购人的决定。</w:t>
      </w:r>
    </w:p>
    <w:p w14:paraId="7887E07E">
      <w:pPr>
        <w:pStyle w:val="228"/>
        <w:numPr>
          <w:ilvl w:val="0"/>
          <w:numId w:val="0"/>
        </w:numPr>
        <w:spacing w:before="156" w:after="156"/>
        <w:ind w:left="0" w:firstLine="120" w:firstLineChars="50"/>
        <w:rPr>
          <w:rFonts w:hint="eastAsia" w:ascii="宋体" w:hAnsi="宋体"/>
          <w:color w:val="000000"/>
          <w:sz w:val="24"/>
          <w:szCs w:val="24"/>
        </w:rPr>
      </w:pPr>
      <w:r>
        <w:rPr>
          <w:rFonts w:hint="eastAsia" w:ascii="宋体" w:hAnsi="宋体"/>
          <w:color w:val="000000"/>
          <w:sz w:val="24"/>
          <w:szCs w:val="24"/>
        </w:rPr>
        <w:t>10.</w:t>
      </w:r>
      <w:r>
        <w:rPr>
          <w:rFonts w:ascii="宋体" w:hAnsi="宋体"/>
          <w:color w:val="000000"/>
          <w:sz w:val="24"/>
          <w:szCs w:val="24"/>
        </w:rPr>
        <w:t>服务提供商必须按照采购人的要求管理好项目经理及其成员，不得随意更换项目经理及其成员，不得随意更换项目需求，如需更换项目成员至少提前一个月通知采购人，采购人同意后方可更换。</w:t>
      </w:r>
    </w:p>
    <w:p w14:paraId="6FDEC0DC">
      <w:pPr>
        <w:pStyle w:val="228"/>
        <w:spacing w:before="156" w:after="156"/>
        <w:ind w:firstLine="480"/>
        <w:rPr>
          <w:rFonts w:hint="eastAsia" w:ascii="宋体" w:hAnsi="宋体"/>
          <w:color w:val="000000"/>
          <w:sz w:val="24"/>
          <w:szCs w:val="24"/>
        </w:rPr>
      </w:pPr>
      <w:r>
        <w:t>▲</w:t>
      </w:r>
      <w:r>
        <w:rPr>
          <w:rFonts w:ascii="宋体" w:hAnsi="宋体"/>
          <w:color w:val="000000"/>
          <w:sz w:val="24"/>
          <w:szCs w:val="24"/>
        </w:rPr>
        <w:t>（二）响应机制</w:t>
      </w:r>
    </w:p>
    <w:p w14:paraId="4F99A6BD">
      <w:pPr>
        <w:pStyle w:val="228"/>
        <w:numPr>
          <w:ilvl w:val="0"/>
          <w:numId w:val="0"/>
        </w:numPr>
        <w:spacing w:before="156" w:after="156"/>
        <w:ind w:left="420" w:leftChars="0"/>
        <w:rPr>
          <w:rFonts w:hint="eastAsia" w:ascii="宋体" w:hAnsi="宋体"/>
          <w:color w:val="000000"/>
          <w:sz w:val="24"/>
          <w:szCs w:val="24"/>
        </w:rPr>
      </w:pPr>
      <w:r>
        <w:rPr>
          <w:rFonts w:hint="eastAsia" w:ascii="宋体" w:hAnsi="宋体"/>
          <w:color w:val="000000"/>
          <w:sz w:val="24"/>
          <w:szCs w:val="24"/>
          <w:lang w:val="en-US" w:eastAsia="zh-CN"/>
        </w:rPr>
        <w:t>1.</w:t>
      </w:r>
      <w:r>
        <w:rPr>
          <w:rFonts w:ascii="宋体" w:hAnsi="宋体"/>
          <w:color w:val="000000"/>
          <w:sz w:val="24"/>
          <w:szCs w:val="24"/>
        </w:rPr>
        <w:t>驻场工程师响应时间：10分钟内响应工单，完结工单时间根据具体采购人合理要求确定，对未能按照要求处理的工单，如有特殊原因需及时汇报采购人</w:t>
      </w:r>
      <w:r>
        <w:rPr>
          <w:rFonts w:hint="eastAsia" w:ascii="宋体" w:hAnsi="宋体"/>
          <w:color w:val="000000"/>
          <w:sz w:val="24"/>
          <w:szCs w:val="24"/>
        </w:rPr>
        <w:t>主管人员并报送</w:t>
      </w:r>
      <w:r>
        <w:rPr>
          <w:rFonts w:ascii="宋体" w:hAnsi="宋体"/>
          <w:color w:val="000000"/>
          <w:sz w:val="24"/>
          <w:szCs w:val="24"/>
        </w:rPr>
        <w:t>信息管理部门负责人。</w:t>
      </w:r>
    </w:p>
    <w:p w14:paraId="549E9360">
      <w:pPr>
        <w:pStyle w:val="228"/>
        <w:numPr>
          <w:ilvl w:val="0"/>
          <w:numId w:val="0"/>
        </w:numPr>
        <w:spacing w:before="156" w:after="156"/>
        <w:ind w:left="420" w:leftChars="0"/>
        <w:rPr>
          <w:rFonts w:hint="eastAsia" w:ascii="宋体" w:hAnsi="宋体"/>
          <w:color w:val="000000"/>
          <w:sz w:val="24"/>
          <w:szCs w:val="24"/>
        </w:rPr>
      </w:pPr>
      <w:r>
        <w:rPr>
          <w:rFonts w:hint="eastAsia" w:ascii="宋体" w:hAnsi="宋体"/>
          <w:color w:val="000000"/>
          <w:sz w:val="24"/>
          <w:szCs w:val="24"/>
          <w:lang w:val="en-US" w:eastAsia="zh-CN"/>
        </w:rPr>
        <w:t>2.</w:t>
      </w:r>
      <w:r>
        <w:rPr>
          <w:rFonts w:ascii="宋体" w:hAnsi="宋体"/>
          <w:color w:val="000000"/>
          <w:sz w:val="24"/>
          <w:szCs w:val="24"/>
        </w:rPr>
        <w:t>如需协调远程工程师需向采购人信息管理部门报备后申请远程工程师协助。</w:t>
      </w:r>
    </w:p>
    <w:p w14:paraId="6288A73C">
      <w:pPr>
        <w:pStyle w:val="228"/>
        <w:numPr>
          <w:ilvl w:val="0"/>
          <w:numId w:val="0"/>
        </w:numPr>
        <w:spacing w:before="156" w:after="156"/>
        <w:ind w:left="420" w:leftChars="0"/>
        <w:rPr>
          <w:rFonts w:hint="eastAsia" w:ascii="宋体" w:hAnsi="宋体"/>
          <w:color w:val="000000"/>
          <w:sz w:val="24"/>
          <w:szCs w:val="24"/>
        </w:rPr>
      </w:pPr>
      <w:r>
        <w:rPr>
          <w:rFonts w:hint="eastAsia" w:ascii="宋体" w:hAnsi="宋体"/>
          <w:color w:val="000000"/>
          <w:sz w:val="24"/>
          <w:szCs w:val="24"/>
          <w:lang w:val="en-US" w:eastAsia="zh-CN"/>
        </w:rPr>
        <w:t>3.</w:t>
      </w:r>
      <w:r>
        <w:rPr>
          <w:rFonts w:ascii="宋体" w:hAnsi="宋体"/>
          <w:color w:val="000000"/>
          <w:sz w:val="24"/>
          <w:szCs w:val="24"/>
        </w:rPr>
        <w:t>驻场人员发现意外情况应及时准确地向采购人信息管理部门负责人报告。</w:t>
      </w:r>
    </w:p>
    <w:p w14:paraId="763E3206">
      <w:pPr>
        <w:pStyle w:val="228"/>
        <w:spacing w:before="156" w:after="156"/>
        <w:ind w:firstLine="482"/>
        <w:rPr>
          <w:rFonts w:hint="eastAsia" w:ascii="宋体" w:hAnsi="宋体"/>
          <w:b/>
          <w:color w:val="000000"/>
          <w:sz w:val="24"/>
          <w:szCs w:val="24"/>
        </w:rPr>
      </w:pPr>
      <w:r>
        <w:rPr>
          <w:rFonts w:ascii="宋体" w:hAnsi="宋体"/>
          <w:color w:val="000000"/>
          <w:sz w:val="24"/>
          <w:szCs w:val="24"/>
        </w:rPr>
        <w:t>（</w:t>
      </w:r>
      <w:r>
        <w:rPr>
          <w:rFonts w:hint="eastAsia" w:ascii="宋体" w:hAnsi="宋体"/>
          <w:color w:val="000000"/>
          <w:sz w:val="24"/>
          <w:szCs w:val="24"/>
        </w:rPr>
        <w:t>三</w:t>
      </w:r>
      <w:r>
        <w:rPr>
          <w:rFonts w:ascii="宋体" w:hAnsi="宋体"/>
          <w:color w:val="000000"/>
          <w:sz w:val="24"/>
          <w:szCs w:val="24"/>
        </w:rPr>
        <w:t>）工具要求</w:t>
      </w:r>
    </w:p>
    <w:p w14:paraId="4B11FC60">
      <w:pPr>
        <w:pStyle w:val="228"/>
        <w:spacing w:before="156" w:after="156"/>
        <w:ind w:firstLineChars="0"/>
        <w:rPr>
          <w:rFonts w:hint="eastAsia" w:ascii="宋体" w:hAnsi="宋体"/>
          <w:color w:val="000000"/>
          <w:sz w:val="24"/>
          <w:szCs w:val="24"/>
        </w:rPr>
      </w:pPr>
      <w:r>
        <w:rPr>
          <w:rFonts w:ascii="宋体" w:hAnsi="宋体"/>
          <w:color w:val="000000"/>
          <w:sz w:val="24"/>
          <w:szCs w:val="24"/>
        </w:rPr>
        <w:t>服务所需的工具由供应商自行提供，其中高级威胁情报、</w:t>
      </w:r>
      <w:r>
        <w:rPr>
          <w:rFonts w:hint="eastAsia" w:ascii="宋体" w:hAnsi="宋体"/>
          <w:color w:val="000000"/>
          <w:sz w:val="24"/>
          <w:szCs w:val="24"/>
        </w:rPr>
        <w:t>智能安全运营平台移动端 APP</w:t>
      </w:r>
      <w:r>
        <w:rPr>
          <w:rFonts w:hint="eastAsia" w:ascii="宋体" w:hAnsi="宋体"/>
          <w:color w:val="000000"/>
          <w:sz w:val="24"/>
          <w:szCs w:val="24"/>
          <w:lang w:val="en-US" w:eastAsia="zh-CN"/>
        </w:rPr>
        <w:t>工具</w:t>
      </w:r>
      <w:r>
        <w:rPr>
          <w:rFonts w:ascii="宋体" w:hAnsi="宋体"/>
          <w:color w:val="000000"/>
          <w:sz w:val="24"/>
          <w:szCs w:val="24"/>
        </w:rPr>
        <w:t>能力要求如下：</w:t>
      </w:r>
    </w:p>
    <w:p w14:paraId="0C0BD3CF">
      <w:pPr>
        <w:pStyle w:val="228"/>
        <w:spacing w:before="156" w:after="156"/>
        <w:ind w:firstLineChars="0"/>
        <w:rPr>
          <w:rFonts w:hint="eastAsia" w:ascii="宋体" w:hAnsi="宋体"/>
          <w:color w:val="000000"/>
          <w:sz w:val="24"/>
          <w:szCs w:val="24"/>
        </w:rPr>
      </w:pPr>
      <w:r>
        <w:rPr>
          <w:rFonts w:ascii="宋体" w:hAnsi="宋体"/>
          <w:color w:val="000000"/>
          <w:sz w:val="24"/>
          <w:szCs w:val="24"/>
        </w:rPr>
        <w:t>1、高级威胁情报（提供下列工具界面截图证明</w:t>
      </w:r>
      <w:r>
        <w:rPr>
          <w:rStyle w:val="45"/>
        </w:rPr>
        <w:t>，</w:t>
      </w:r>
      <w:r>
        <w:rPr>
          <w:rStyle w:val="45"/>
          <w:rFonts w:ascii="宋体" w:hAnsi="宋体"/>
          <w:color w:val="000000"/>
          <w:sz w:val="24"/>
          <w:szCs w:val="24"/>
        </w:rPr>
        <w:t>并提供原厂制造商正式授权函</w:t>
      </w:r>
      <w:r>
        <w:rPr>
          <w:rFonts w:ascii="宋体" w:hAnsi="宋体"/>
          <w:color w:val="000000"/>
          <w:sz w:val="24"/>
          <w:szCs w:val="24"/>
        </w:rPr>
        <w:t>）：</w:t>
      </w:r>
    </w:p>
    <w:p w14:paraId="3CC95303">
      <w:pPr>
        <w:pStyle w:val="228"/>
        <w:spacing w:before="156" w:after="156"/>
        <w:ind w:firstLine="480"/>
        <w:rPr>
          <w:rFonts w:hint="eastAsia" w:ascii="宋体" w:hAnsi="宋体"/>
          <w:color w:val="000000"/>
          <w:sz w:val="24"/>
          <w:szCs w:val="24"/>
        </w:rPr>
      </w:pPr>
      <w:r>
        <w:t>▲</w:t>
      </w:r>
      <w:r>
        <w:rPr>
          <w:rFonts w:ascii="宋体" w:hAnsi="宋体"/>
          <w:color w:val="000000"/>
          <w:sz w:val="24"/>
          <w:szCs w:val="24"/>
        </w:rPr>
        <w:t>（1）IP攻击画像能力：支持提供捕获IP真实攻击画像详情，包含攻击手法、攻击包详情、攻击端口、访问路径、攻击应用、传递木马、木马下载地址、相关样本、近90天活跃度、蜜罐是否捕获、IP信誉标签、首次攻击时间、最新攻击时间、UA特征、Cookie特征等内容；</w:t>
      </w:r>
    </w:p>
    <w:p w14:paraId="12827761">
      <w:pPr>
        <w:pStyle w:val="228"/>
        <w:spacing w:before="156" w:after="156"/>
        <w:ind w:firstLine="480"/>
        <w:rPr>
          <w:rFonts w:hint="eastAsia" w:ascii="宋体" w:hAnsi="宋体"/>
          <w:color w:val="000000"/>
          <w:sz w:val="24"/>
          <w:szCs w:val="24"/>
        </w:rPr>
      </w:pPr>
      <w:r>
        <w:rPr>
          <w:rFonts w:ascii="宋体" w:hAnsi="宋体"/>
          <w:color w:val="000000"/>
          <w:sz w:val="24"/>
          <w:szCs w:val="24"/>
        </w:rPr>
        <w:t>（2）AI分析能力：支持使用安全大模型进行安全分析。支持分析场景包括：安全知识问答、网络流量分析、威胁日志分析、恶意代码分析、测绘资产Banner解读、测绘资产应用解读等；</w:t>
      </w:r>
    </w:p>
    <w:p w14:paraId="322A7D2F">
      <w:pPr>
        <w:pStyle w:val="228"/>
        <w:spacing w:before="156" w:after="156"/>
        <w:ind w:firstLine="480"/>
        <w:rPr>
          <w:rFonts w:hint="eastAsia" w:ascii="宋体" w:hAnsi="宋体"/>
          <w:color w:val="000000"/>
          <w:sz w:val="24"/>
          <w:szCs w:val="24"/>
        </w:rPr>
      </w:pPr>
      <w:r>
        <w:t>▲</w:t>
      </w:r>
      <w:r>
        <w:rPr>
          <w:rFonts w:ascii="宋体" w:hAnsi="宋体"/>
          <w:color w:val="000000"/>
          <w:sz w:val="24"/>
          <w:szCs w:val="24"/>
        </w:rPr>
        <w:t>（3）样本分析能力：支持不少于25种反病毒扫描引擎，并能提供以下分析内容：安全与否判定、威胁分类、木马家族、场景标签、沙箱运行环境、场景检测、情报IOC、行为检测、多维检测、引擎检测、多引擎检出比例、多引擎具体检出、处置建议、行为签名、静态信息、进程行为、网络行为、释放行为、静态分析、动态分析等；</w:t>
      </w:r>
    </w:p>
    <w:p w14:paraId="23114FB7">
      <w:pPr>
        <w:pStyle w:val="228"/>
        <w:spacing w:before="156" w:after="156"/>
        <w:ind w:firstLine="480"/>
        <w:rPr>
          <w:rFonts w:hint="eastAsia" w:ascii="宋体" w:hAnsi="宋体"/>
          <w:color w:val="000000"/>
          <w:sz w:val="24"/>
          <w:szCs w:val="24"/>
        </w:rPr>
      </w:pPr>
      <w:r>
        <w:rPr>
          <w:rFonts w:ascii="宋体" w:hAnsi="宋体"/>
          <w:color w:val="000000"/>
          <w:sz w:val="24"/>
          <w:szCs w:val="24"/>
        </w:rPr>
        <w:t>（4）可视化威胁情报分析：支持对单个IP、域名、Hash、URL、Email进行可视化分析，展示单一的 IP、域名、文件等之间的关联关系，形成可视化关联图；</w:t>
      </w:r>
    </w:p>
    <w:p w14:paraId="6A2BD893">
      <w:pPr>
        <w:pStyle w:val="228"/>
        <w:spacing w:before="156" w:after="156"/>
        <w:ind w:firstLine="480"/>
        <w:rPr>
          <w:rFonts w:hint="eastAsia" w:ascii="宋体" w:hAnsi="宋体"/>
          <w:color w:val="000000"/>
          <w:sz w:val="24"/>
          <w:szCs w:val="24"/>
        </w:rPr>
      </w:pPr>
      <w:r>
        <w:t>▲</w:t>
      </w:r>
      <w:r>
        <w:rPr>
          <w:rFonts w:ascii="宋体" w:hAnsi="宋体"/>
          <w:color w:val="000000"/>
          <w:sz w:val="24"/>
          <w:szCs w:val="24"/>
        </w:rPr>
        <w:t>（5）工具资质要求：工具具备中华人民共和国国家版权局颁布的网络安全类软件著作权证书（投标文件内需提供证书扫描件并加盖投标人公章，如著作权非投标人，需提供制造商授权书或其他合法使用途径说明）。</w:t>
      </w:r>
    </w:p>
    <w:p w14:paraId="2F2068FA">
      <w:pPr>
        <w:pStyle w:val="228"/>
        <w:spacing w:before="156" w:after="156"/>
        <w:ind w:firstLine="420"/>
        <w:rPr>
          <w:rFonts w:hint="eastAsia" w:ascii="宋体" w:hAnsi="宋体"/>
          <w:color w:val="000000"/>
          <w:sz w:val="24"/>
          <w:szCs w:val="24"/>
        </w:rPr>
      </w:pPr>
      <w:r>
        <w:rPr>
          <w:rFonts w:ascii="宋体" w:hAnsi="宋体"/>
          <w:color w:val="000000"/>
          <w:sz w:val="24"/>
          <w:szCs w:val="24"/>
        </w:rPr>
        <w:t>2、</w:t>
      </w:r>
      <w:r>
        <w:rPr>
          <w:rFonts w:hint="eastAsia" w:ascii="宋体" w:hAnsi="宋体"/>
          <w:color w:val="000000"/>
          <w:sz w:val="24"/>
          <w:szCs w:val="24"/>
        </w:rPr>
        <w:t>智能安全运营平台移动端 APP</w:t>
      </w:r>
      <w:r>
        <w:rPr>
          <w:rFonts w:ascii="宋体" w:hAnsi="宋体"/>
          <w:color w:val="000000"/>
          <w:sz w:val="24"/>
          <w:szCs w:val="24"/>
        </w:rPr>
        <w:t>（提供下列工具界面截图证明</w:t>
      </w:r>
      <w:r>
        <w:rPr>
          <w:rStyle w:val="45"/>
        </w:rPr>
        <w:t>，</w:t>
      </w:r>
      <w:r>
        <w:rPr>
          <w:rFonts w:ascii="宋体" w:hAnsi="宋体"/>
          <w:color w:val="000000"/>
          <w:sz w:val="24"/>
          <w:szCs w:val="24"/>
        </w:rPr>
        <w:t>并提供原厂制造商正式授权函）：</w:t>
      </w:r>
    </w:p>
    <w:p w14:paraId="09E4BD80">
      <w:pPr>
        <w:pStyle w:val="228"/>
        <w:spacing w:before="156" w:after="156"/>
        <w:ind w:firstLine="480"/>
        <w:rPr>
          <w:rFonts w:hint="eastAsia" w:ascii="宋体" w:hAnsi="宋体"/>
          <w:color w:val="000000"/>
          <w:sz w:val="24"/>
          <w:szCs w:val="24"/>
        </w:rPr>
      </w:pPr>
      <w:r>
        <w:t>▲</w:t>
      </w:r>
      <w:r>
        <w:rPr>
          <w:rFonts w:ascii="宋体" w:hAnsi="宋体"/>
          <w:color w:val="000000"/>
          <w:sz w:val="24"/>
          <w:szCs w:val="24"/>
        </w:rPr>
        <w:t>（</w:t>
      </w:r>
      <w:r>
        <w:rPr>
          <w:rFonts w:hint="eastAsia" w:ascii="宋体" w:hAnsi="宋体"/>
          <w:color w:val="000000"/>
          <w:sz w:val="24"/>
          <w:szCs w:val="24"/>
        </w:rPr>
        <w:t>1</w:t>
      </w:r>
      <w:r>
        <w:rPr>
          <w:rFonts w:ascii="宋体" w:hAnsi="宋体"/>
          <w:color w:val="000000"/>
          <w:sz w:val="24"/>
          <w:szCs w:val="24"/>
        </w:rPr>
        <w:t>）</w:t>
      </w:r>
      <w:r>
        <w:rPr>
          <w:rFonts w:hint="eastAsia" w:ascii="宋体" w:hAnsi="宋体"/>
          <w:color w:val="000000"/>
          <w:sz w:val="24"/>
          <w:szCs w:val="24"/>
        </w:rPr>
        <w:t>联动能力</w:t>
      </w:r>
      <w:r>
        <w:rPr>
          <w:rFonts w:ascii="宋体" w:hAnsi="宋体"/>
          <w:color w:val="000000"/>
          <w:sz w:val="24"/>
          <w:szCs w:val="24"/>
        </w:rPr>
        <w:t>：</w:t>
      </w:r>
      <w:r>
        <w:rPr>
          <w:rFonts w:hint="eastAsia" w:ascii="宋体" w:hAnsi="宋体"/>
          <w:color w:val="000000"/>
          <w:sz w:val="24"/>
          <w:szCs w:val="24"/>
        </w:rPr>
        <w:t>提供智能安全运营平台移动端 APP，支持与医院现有智能安全运营平台深度联动、协同处置。可实时查看安全态势仪表盘、查阅安全事件详情，发现网络威胁事件后，可远程向相关设备下发阻断、告警等安全防护策略，实现威胁快速处置；</w:t>
      </w:r>
    </w:p>
    <w:p w14:paraId="7D5BF81D">
      <w:pPr>
        <w:pStyle w:val="228"/>
        <w:spacing w:before="156" w:after="156"/>
        <w:ind w:firstLine="480"/>
        <w:rPr>
          <w:rFonts w:hint="eastAsia" w:ascii="宋体" w:hAnsi="宋体"/>
          <w:color w:val="000000"/>
          <w:sz w:val="24"/>
          <w:szCs w:val="24"/>
        </w:rPr>
      </w:pPr>
      <w:r>
        <w:t>▲</w:t>
      </w:r>
      <w:r>
        <w:rPr>
          <w:rFonts w:hint="eastAsia" w:ascii="宋体" w:hAnsi="宋体"/>
          <w:color w:val="000000"/>
          <w:sz w:val="24"/>
          <w:szCs w:val="24"/>
        </w:rPr>
        <w:t>（2）仪表盘：支持展示总事件量、热门动作、热门剧本、处置成功率、总事件趋势图、事件处理人员排行榜等数量信息；</w:t>
      </w:r>
    </w:p>
    <w:p w14:paraId="4C4A674C">
      <w:pPr>
        <w:pStyle w:val="228"/>
        <w:spacing w:before="156" w:after="156"/>
        <w:ind w:firstLine="480"/>
        <w:rPr>
          <w:rFonts w:hint="eastAsia" w:ascii="宋体" w:hAnsi="宋体"/>
          <w:color w:val="000000"/>
          <w:sz w:val="24"/>
          <w:szCs w:val="24"/>
        </w:rPr>
      </w:pPr>
      <w:r>
        <w:t>▲</w:t>
      </w:r>
      <w:r>
        <w:rPr>
          <w:rFonts w:hint="eastAsia" w:ascii="宋体" w:hAnsi="宋体"/>
          <w:color w:val="000000"/>
          <w:sz w:val="24"/>
          <w:szCs w:val="24"/>
        </w:rPr>
        <w:t>（3）作战室协同：支持进入事件作战室参与事件的沟通协同，查看事件处置详情，点对点@作战人员；</w:t>
      </w:r>
    </w:p>
    <w:p w14:paraId="5D69A4B3">
      <w:pPr>
        <w:pStyle w:val="228"/>
        <w:spacing w:before="156" w:after="156"/>
        <w:ind w:firstLine="480"/>
        <w:rPr>
          <w:rFonts w:hint="eastAsia" w:ascii="宋体" w:hAnsi="宋体"/>
          <w:color w:val="000000"/>
          <w:sz w:val="24"/>
          <w:szCs w:val="24"/>
        </w:rPr>
      </w:pPr>
      <w:r>
        <w:rPr>
          <w:rFonts w:hint="eastAsia" w:ascii="宋体" w:hAnsi="宋体"/>
          <w:color w:val="000000"/>
          <w:sz w:val="24"/>
          <w:szCs w:val="24"/>
        </w:rPr>
        <w:t>（4）操作审批：支持接收剧本的的审批节点任务，实现移动端核查审批流传；</w:t>
      </w:r>
    </w:p>
    <w:p w14:paraId="45BCEAE6">
      <w:pPr>
        <w:pStyle w:val="228"/>
        <w:spacing w:before="156" w:after="156"/>
        <w:ind w:firstLine="480"/>
        <w:rPr>
          <w:rFonts w:hint="eastAsia" w:ascii="宋体" w:hAnsi="宋体"/>
          <w:color w:val="000000"/>
          <w:sz w:val="24"/>
          <w:szCs w:val="24"/>
        </w:rPr>
      </w:pPr>
      <w:r>
        <w:rPr>
          <w:rFonts w:hint="eastAsia" w:ascii="宋体" w:hAnsi="宋体"/>
          <w:color w:val="000000"/>
          <w:sz w:val="24"/>
          <w:szCs w:val="24"/>
        </w:rPr>
        <w:t>（5）事件列表：支持获取事件列表信息，查看事件处置详情。</w:t>
      </w:r>
    </w:p>
    <w:p w14:paraId="27469385">
      <w:pPr>
        <w:pStyle w:val="4"/>
        <w:rPr>
          <w:color w:val="000000"/>
        </w:rPr>
      </w:pPr>
      <w:r>
        <w:rPr>
          <w:rFonts w:hint="eastAsia"/>
          <w:color w:val="000000"/>
          <w:lang w:val="en-US" w:eastAsia="zh-CN"/>
        </w:rPr>
        <w:t xml:space="preserve">5.4  </w:t>
      </w:r>
      <w:commentRangeStart w:id="6"/>
      <w:r>
        <w:rPr>
          <w:color w:val="000000"/>
        </w:rPr>
        <w:t>服务响应要求</w:t>
      </w:r>
      <w:commentRangeEnd w:id="6"/>
      <w:r>
        <w:commentReference w:id="6"/>
      </w:r>
    </w:p>
    <w:p w14:paraId="59961BBF">
      <w:pPr>
        <w:spacing w:line="360" w:lineRule="auto"/>
        <w:ind w:firstLine="504" w:firstLineChars="210"/>
        <w:rPr>
          <w:rFonts w:hint="eastAsia" w:ascii="宋体" w:hAnsi="宋体"/>
          <w:color w:val="000000"/>
          <w:sz w:val="24"/>
        </w:rPr>
      </w:pPr>
      <w:r>
        <w:rPr>
          <w:rFonts w:ascii="宋体" w:hAnsi="宋体"/>
          <w:color w:val="000000"/>
          <w:sz w:val="24"/>
        </w:rPr>
        <w:t>（一）影响到业务正常开展的故障，</w:t>
      </w:r>
      <w:r>
        <w:rPr>
          <w:rFonts w:ascii="宋体" w:hAnsi="宋体"/>
          <w:color w:val="000000"/>
          <w:sz w:val="24"/>
          <w:u w:val="single"/>
        </w:rPr>
        <w:t xml:space="preserve">  </w:t>
      </w:r>
      <w:r>
        <w:rPr>
          <w:rFonts w:hint="eastAsia" w:ascii="宋体" w:hAnsi="宋体"/>
          <w:color w:val="000000"/>
          <w:sz w:val="24"/>
          <w:u w:val="single"/>
        </w:rPr>
        <w:t>15</w:t>
      </w:r>
      <w:r>
        <w:rPr>
          <w:rFonts w:ascii="宋体" w:hAnsi="宋体"/>
          <w:color w:val="000000"/>
          <w:sz w:val="24"/>
          <w:u w:val="single"/>
        </w:rPr>
        <w:t xml:space="preserve"> </w:t>
      </w:r>
      <w:r>
        <w:rPr>
          <w:rFonts w:ascii="宋体" w:hAnsi="宋体"/>
          <w:color w:val="000000"/>
          <w:sz w:val="24"/>
        </w:rPr>
        <w:t>分钟内到达现场，</w:t>
      </w:r>
      <w:r>
        <w:rPr>
          <w:rFonts w:ascii="宋体" w:hAnsi="宋体"/>
          <w:color w:val="000000"/>
          <w:sz w:val="24"/>
          <w:u w:val="single"/>
        </w:rPr>
        <w:t xml:space="preserve"> </w:t>
      </w:r>
      <w:r>
        <w:rPr>
          <w:rFonts w:hint="eastAsia" w:ascii="宋体" w:hAnsi="宋体"/>
          <w:color w:val="000000"/>
          <w:sz w:val="24"/>
          <w:u w:val="single"/>
        </w:rPr>
        <w:t>并立即</w:t>
      </w:r>
      <w:r>
        <w:rPr>
          <w:rFonts w:ascii="宋体" w:hAnsi="宋体"/>
          <w:color w:val="000000"/>
          <w:sz w:val="24"/>
        </w:rPr>
        <w:t xml:space="preserve">报告采购人主管负责人， </w:t>
      </w:r>
      <w:r>
        <w:rPr>
          <w:rFonts w:ascii="宋体" w:hAnsi="宋体"/>
          <w:color w:val="000000"/>
          <w:sz w:val="24"/>
          <w:u w:val="single"/>
        </w:rPr>
        <w:t xml:space="preserve">  24 </w:t>
      </w:r>
      <w:r>
        <w:rPr>
          <w:rFonts w:ascii="宋体" w:hAnsi="宋体"/>
          <w:color w:val="000000"/>
          <w:sz w:val="24"/>
        </w:rPr>
        <w:t>小时内安排资源解决。如不能解决，需要二线技术人员提供现场技术支持服务，最迟在</w:t>
      </w:r>
      <w:r>
        <w:rPr>
          <w:rFonts w:ascii="宋体" w:hAnsi="宋体"/>
          <w:color w:val="000000"/>
          <w:sz w:val="24"/>
          <w:u w:val="single"/>
        </w:rPr>
        <w:t xml:space="preserve"> 48   </w:t>
      </w:r>
      <w:r>
        <w:rPr>
          <w:rFonts w:ascii="宋体" w:hAnsi="宋体"/>
          <w:color w:val="000000"/>
          <w:sz w:val="24"/>
        </w:rPr>
        <w:t>小时内解决问题。在故障解决过程中，保持每</w:t>
      </w:r>
      <w:r>
        <w:rPr>
          <w:rFonts w:ascii="宋体" w:hAnsi="宋体"/>
          <w:color w:val="000000"/>
          <w:sz w:val="24"/>
          <w:u w:val="single"/>
        </w:rPr>
        <w:t xml:space="preserve"> </w:t>
      </w:r>
      <w:r>
        <w:rPr>
          <w:rFonts w:hint="eastAsia" w:ascii="宋体" w:hAnsi="宋体"/>
          <w:color w:val="000000"/>
          <w:sz w:val="24"/>
          <w:u w:val="single"/>
        </w:rPr>
        <w:t>2</w:t>
      </w:r>
      <w:r>
        <w:rPr>
          <w:rFonts w:ascii="宋体" w:hAnsi="宋体"/>
          <w:color w:val="000000"/>
          <w:sz w:val="24"/>
          <w:u w:val="single"/>
        </w:rPr>
        <w:t xml:space="preserve">   </w:t>
      </w:r>
      <w:r>
        <w:rPr>
          <w:rFonts w:ascii="宋体" w:hAnsi="宋体"/>
          <w:color w:val="000000"/>
          <w:sz w:val="24"/>
        </w:rPr>
        <w:t>小时内1次与客户进行情况汇报。</w:t>
      </w:r>
    </w:p>
    <w:p w14:paraId="6EB364B2">
      <w:pPr>
        <w:spacing w:line="360" w:lineRule="auto"/>
        <w:ind w:firstLine="504" w:firstLineChars="210"/>
        <w:rPr>
          <w:rFonts w:hint="eastAsia" w:ascii="宋体" w:hAnsi="宋体"/>
          <w:color w:val="000000"/>
          <w:sz w:val="24"/>
        </w:rPr>
      </w:pPr>
      <w:r>
        <w:rPr>
          <w:rFonts w:ascii="宋体" w:hAnsi="宋体"/>
          <w:color w:val="000000"/>
          <w:sz w:val="24"/>
        </w:rPr>
        <w:t>（二）不影响业务正常开展的故障，</w:t>
      </w:r>
      <w:r>
        <w:rPr>
          <w:rFonts w:ascii="宋体" w:hAnsi="宋体"/>
          <w:color w:val="000000"/>
          <w:sz w:val="24"/>
          <w:u w:val="single"/>
        </w:rPr>
        <w:t xml:space="preserve">  </w:t>
      </w:r>
      <w:r>
        <w:rPr>
          <w:rFonts w:hint="eastAsia" w:ascii="宋体" w:hAnsi="宋体"/>
          <w:color w:val="000000"/>
          <w:sz w:val="24"/>
          <w:u w:val="single"/>
        </w:rPr>
        <w:t>30</w:t>
      </w:r>
      <w:r>
        <w:rPr>
          <w:rFonts w:ascii="宋体" w:hAnsi="宋体"/>
          <w:color w:val="000000"/>
          <w:sz w:val="24"/>
          <w:u w:val="single"/>
        </w:rPr>
        <w:t xml:space="preserve">  </w:t>
      </w:r>
      <w:r>
        <w:rPr>
          <w:rFonts w:ascii="宋体" w:hAnsi="宋体"/>
          <w:color w:val="000000"/>
          <w:sz w:val="24"/>
        </w:rPr>
        <w:t>分钟内到达现场，</w:t>
      </w:r>
      <w:r>
        <w:rPr>
          <w:rFonts w:ascii="宋体" w:hAnsi="宋体"/>
          <w:color w:val="000000"/>
          <w:sz w:val="24"/>
          <w:u w:val="single"/>
        </w:rPr>
        <w:t xml:space="preserve">  </w:t>
      </w:r>
      <w:r>
        <w:rPr>
          <w:rFonts w:hint="eastAsia" w:ascii="宋体" w:hAnsi="宋体"/>
          <w:color w:val="000000"/>
          <w:sz w:val="24"/>
          <w:u w:val="single"/>
        </w:rPr>
        <w:t>1</w:t>
      </w:r>
      <w:r>
        <w:rPr>
          <w:rFonts w:ascii="宋体" w:hAnsi="宋体"/>
          <w:color w:val="000000"/>
          <w:sz w:val="24"/>
          <w:u w:val="single"/>
        </w:rPr>
        <w:t xml:space="preserve">  </w:t>
      </w:r>
      <w:r>
        <w:rPr>
          <w:rFonts w:ascii="宋体" w:hAnsi="宋体"/>
          <w:color w:val="000000"/>
          <w:sz w:val="24"/>
        </w:rPr>
        <w:t>小时内报告采购人主管负责人，</w:t>
      </w:r>
      <w:r>
        <w:rPr>
          <w:rFonts w:ascii="宋体" w:hAnsi="宋体"/>
          <w:color w:val="000000"/>
          <w:sz w:val="24"/>
          <w:u w:val="single"/>
        </w:rPr>
        <w:t xml:space="preserve">  </w:t>
      </w:r>
      <w:r>
        <w:rPr>
          <w:rFonts w:hint="eastAsia" w:ascii="宋体" w:hAnsi="宋体"/>
          <w:color w:val="000000"/>
          <w:sz w:val="24"/>
          <w:u w:val="single"/>
        </w:rPr>
        <w:t>3</w:t>
      </w:r>
      <w:r>
        <w:rPr>
          <w:rFonts w:ascii="宋体" w:hAnsi="宋体"/>
          <w:color w:val="000000"/>
          <w:sz w:val="24"/>
          <w:u w:val="single"/>
        </w:rPr>
        <w:t xml:space="preserve">  </w:t>
      </w:r>
      <w:r>
        <w:rPr>
          <w:rFonts w:ascii="宋体" w:hAnsi="宋体"/>
          <w:color w:val="000000"/>
          <w:sz w:val="24"/>
        </w:rPr>
        <w:t>个工作日内解决。</w:t>
      </w:r>
    </w:p>
    <w:p w14:paraId="732AF998">
      <w:pPr>
        <w:pStyle w:val="4"/>
        <w:rPr>
          <w:color w:val="000000"/>
        </w:rPr>
      </w:pPr>
      <w:r>
        <w:rPr>
          <w:rFonts w:hint="eastAsia"/>
          <w:color w:val="000000"/>
          <w:lang w:val="en-US" w:eastAsia="zh-CN"/>
        </w:rPr>
        <w:t xml:space="preserve">5.5  </w:t>
      </w:r>
      <w:r>
        <w:rPr>
          <w:color w:val="000000"/>
        </w:rPr>
        <w:t>付款方式：</w:t>
      </w:r>
    </w:p>
    <w:p w14:paraId="52B64304">
      <w:pPr>
        <w:pStyle w:val="4"/>
        <w:ind w:firstLine="482" w:firstLineChars="200"/>
        <w:rPr>
          <w:color w:val="000000"/>
        </w:rPr>
      </w:pPr>
      <w:r>
        <w:rPr>
          <w:rFonts w:ascii="宋体" w:hAnsi="宋体"/>
          <w:color w:val="000000"/>
        </w:rPr>
        <w:t>付款方式：合同签订后，供应商提供服务满半年，供应商提交付款申请材料经采购人审核通过后，供应商开具等额增值税普通发票，采购人在收到发票10个工作日内向供应商支付合同总金额的</w:t>
      </w:r>
      <w:r>
        <w:rPr>
          <w:rFonts w:hint="eastAsia" w:ascii="宋体" w:hAnsi="宋体"/>
          <w:color w:val="000000"/>
        </w:rPr>
        <w:t>3</w:t>
      </w:r>
      <w:r>
        <w:rPr>
          <w:rFonts w:ascii="宋体" w:hAnsi="宋体"/>
          <w:color w:val="000000"/>
        </w:rPr>
        <w:t>0%。供应商提供服务满一年后，项目验收合格后，供应商提交付款申请材料经采购人审核通过后，供应商开具等额增值税普通发票，采购人在收到发票10个工作日内支付合同总金额的</w:t>
      </w:r>
      <w:r>
        <w:rPr>
          <w:rFonts w:hint="eastAsia" w:ascii="宋体" w:hAnsi="宋体"/>
          <w:color w:val="000000"/>
        </w:rPr>
        <w:t>7</w:t>
      </w:r>
      <w:r>
        <w:rPr>
          <w:rFonts w:ascii="宋体" w:hAnsi="宋体"/>
          <w:color w:val="000000"/>
        </w:rPr>
        <w:t>0%。</w:t>
      </w:r>
    </w:p>
    <w:p w14:paraId="3535C19A">
      <w:pPr>
        <w:pStyle w:val="4"/>
        <w:rPr>
          <w:color w:val="000000"/>
        </w:rPr>
      </w:pPr>
      <w:r>
        <w:rPr>
          <w:rFonts w:hint="eastAsia" w:ascii="宋体"/>
          <w:color w:val="000000"/>
          <w:lang w:val="en-US" w:eastAsia="zh-CN"/>
        </w:rPr>
        <w:t xml:space="preserve">5.6  </w:t>
      </w:r>
      <w:r>
        <w:rPr>
          <w:rFonts w:ascii="宋体"/>
          <w:color w:val="000000"/>
        </w:rPr>
        <w:t>★</w:t>
      </w:r>
      <w:r>
        <w:rPr>
          <w:color w:val="000000"/>
        </w:rPr>
        <w:t>信息安全及违约罚则</w:t>
      </w:r>
    </w:p>
    <w:p w14:paraId="6A50FFEB">
      <w:pPr>
        <w:pStyle w:val="210"/>
        <w:spacing w:line="360" w:lineRule="auto"/>
        <w:ind w:firstLine="480" w:firstLineChars="200"/>
        <w:rPr>
          <w:rFonts w:hint="eastAsia" w:ascii="宋体" w:hAnsi="宋体"/>
          <w:color w:val="000000"/>
          <w:sz w:val="24"/>
        </w:rPr>
      </w:pPr>
      <w:r>
        <w:rPr>
          <w:rFonts w:ascii="宋体" w:hAnsi="宋体"/>
          <w:color w:val="000000"/>
          <w:sz w:val="24"/>
        </w:rPr>
        <w:t>供应商应严格遵守信息安全方面的规定，自觉保守信息资源</w:t>
      </w:r>
      <w:r>
        <w:rPr>
          <w:rFonts w:hint="eastAsia" w:ascii="宋体" w:hAnsi="宋体"/>
          <w:color w:val="000000"/>
          <w:sz w:val="24"/>
        </w:rPr>
        <w:t>机</w:t>
      </w:r>
      <w:r>
        <w:rPr>
          <w:rFonts w:ascii="宋体" w:hAnsi="宋体"/>
          <w:color w:val="000000"/>
          <w:sz w:val="24"/>
        </w:rPr>
        <w:t>密。项目成果以及采购人为方便项目实施所提供给供应商的相关资料文档，实施过程中所产生的资料、文档、数据</w:t>
      </w:r>
      <w:r>
        <w:rPr>
          <w:rFonts w:hint="eastAsia" w:ascii="宋体" w:hAnsi="宋体"/>
          <w:color w:val="000000"/>
          <w:sz w:val="24"/>
        </w:rPr>
        <w:t>及</w:t>
      </w:r>
      <w:r>
        <w:rPr>
          <w:rFonts w:ascii="宋体" w:hAnsi="宋体"/>
          <w:color w:val="000000"/>
          <w:sz w:val="24"/>
        </w:rPr>
        <w:t>相关附属品</w:t>
      </w:r>
      <w:r>
        <w:rPr>
          <w:rFonts w:hint="eastAsia" w:ascii="宋体" w:hAnsi="宋体"/>
          <w:color w:val="000000"/>
          <w:sz w:val="24"/>
        </w:rPr>
        <w:t>，</w:t>
      </w:r>
      <w:r>
        <w:rPr>
          <w:rFonts w:ascii="宋体" w:hAnsi="宋体"/>
          <w:color w:val="000000"/>
          <w:sz w:val="24"/>
        </w:rPr>
        <w:t>均属于信息资源</w:t>
      </w:r>
      <w:r>
        <w:rPr>
          <w:rFonts w:hint="eastAsia" w:ascii="宋体" w:hAnsi="宋体"/>
          <w:color w:val="000000"/>
          <w:sz w:val="24"/>
        </w:rPr>
        <w:t>范畴</w:t>
      </w:r>
      <w:r>
        <w:rPr>
          <w:rFonts w:ascii="宋体" w:hAnsi="宋体"/>
          <w:color w:val="000000"/>
          <w:sz w:val="24"/>
        </w:rPr>
        <w:t>，供应商应保证这些信息在项目期间及项目完成后规定时间内的安全。供应商应建立并</w:t>
      </w:r>
      <w:r>
        <w:rPr>
          <w:rFonts w:hint="eastAsia" w:ascii="宋体" w:hAnsi="宋体"/>
          <w:color w:val="000000"/>
          <w:sz w:val="24"/>
        </w:rPr>
        <w:t>有效执行</w:t>
      </w:r>
      <w:r>
        <w:rPr>
          <w:rFonts w:ascii="宋体" w:hAnsi="宋体"/>
          <w:color w:val="000000"/>
          <w:sz w:val="24"/>
        </w:rPr>
        <w:t>项目</w:t>
      </w:r>
      <w:r>
        <w:rPr>
          <w:rFonts w:hint="eastAsia" w:ascii="宋体" w:hAnsi="宋体"/>
          <w:color w:val="000000"/>
          <w:sz w:val="24"/>
        </w:rPr>
        <w:t>实施</w:t>
      </w:r>
      <w:r>
        <w:rPr>
          <w:rFonts w:ascii="宋体" w:hAnsi="宋体"/>
          <w:color w:val="000000"/>
          <w:sz w:val="24"/>
        </w:rPr>
        <w:t>期间的信息安全管理规范，以确保项目启动、实施及完成后的信息安全。</w:t>
      </w:r>
    </w:p>
    <w:p w14:paraId="4076C572">
      <w:pPr>
        <w:spacing w:line="360" w:lineRule="auto"/>
        <w:ind w:firstLine="504" w:firstLineChars="210"/>
        <w:rPr>
          <w:rFonts w:hint="eastAsia" w:ascii="宋体" w:hAnsi="宋体"/>
          <w:color w:val="000000"/>
          <w:sz w:val="24"/>
        </w:rPr>
      </w:pPr>
      <w:r>
        <w:rPr>
          <w:rFonts w:ascii="宋体" w:hAnsi="宋体"/>
          <w:color w:val="000000"/>
          <w:sz w:val="24"/>
        </w:rPr>
        <w:t>非经采购人书面许可，供应商不得以任何形式泄漏以上材料。因供应商原因导致上述资料、文档、数据安全受到威胁的，采购人有权要求供应商采取措施消除影响，并赔偿相应损失。</w:t>
      </w:r>
    </w:p>
    <w:p w14:paraId="27816F8C">
      <w:pPr>
        <w:spacing w:line="360" w:lineRule="auto"/>
        <w:ind w:firstLine="504" w:firstLineChars="210"/>
        <w:rPr>
          <w:rFonts w:hint="eastAsia" w:ascii="宋体" w:hAnsi="宋体"/>
          <w:color w:val="000000"/>
          <w:sz w:val="24"/>
        </w:rPr>
      </w:pPr>
      <w:r>
        <w:rPr>
          <w:rFonts w:ascii="宋体" w:hAnsi="宋体"/>
          <w:color w:val="000000"/>
          <w:sz w:val="24"/>
        </w:rPr>
        <w:t>如中标后无法履行承诺函、响应文件要求，经采购人沟通后无法解决的，采购人有权终止项目并收取合同金额10%的违约金，并要求供应商赔偿采购人有关损失。</w:t>
      </w:r>
    </w:p>
    <w:p w14:paraId="2BA10C20">
      <w:pPr>
        <w:pStyle w:val="4"/>
        <w:rPr>
          <w:color w:val="000000"/>
        </w:rPr>
      </w:pPr>
      <w:r>
        <w:rPr>
          <w:rFonts w:hint="eastAsia"/>
          <w:color w:val="000000"/>
          <w:lang w:val="en-US" w:eastAsia="zh-CN"/>
        </w:rPr>
        <w:t>5.7</w:t>
      </w:r>
      <w:r>
        <w:rPr>
          <w:color w:val="000000"/>
        </w:rPr>
        <w:t>验收要求</w:t>
      </w:r>
    </w:p>
    <w:p w14:paraId="2A00A7A8">
      <w:pPr>
        <w:spacing w:line="360" w:lineRule="auto"/>
        <w:ind w:firstLine="504" w:firstLineChars="210"/>
        <w:rPr>
          <w:rFonts w:hint="eastAsia" w:ascii="宋体" w:hAnsi="宋体"/>
          <w:color w:val="000000"/>
          <w:sz w:val="24"/>
        </w:rPr>
      </w:pPr>
      <w:r>
        <w:rPr>
          <w:rFonts w:ascii="宋体" w:hAnsi="宋体"/>
          <w:color w:val="000000"/>
          <w:sz w:val="24"/>
        </w:rPr>
        <w:t>本项目运维工作结束后，应按照项目要求提供验收材料如下，视项目实际运维情况，可按采购人要求合理调整。</w:t>
      </w:r>
    </w:p>
    <w:tbl>
      <w:tblPr>
        <w:tblStyle w:val="37"/>
        <w:tblW w:w="9342" w:type="dxa"/>
        <w:tblInd w:w="-128" w:type="dxa"/>
        <w:tblLayout w:type="autofit"/>
        <w:tblCellMar>
          <w:top w:w="0" w:type="dxa"/>
          <w:left w:w="108" w:type="dxa"/>
          <w:bottom w:w="0" w:type="dxa"/>
          <w:right w:w="108" w:type="dxa"/>
        </w:tblCellMar>
      </w:tblPr>
      <w:tblGrid>
        <w:gridCol w:w="691"/>
        <w:gridCol w:w="3973"/>
        <w:gridCol w:w="4678"/>
      </w:tblGrid>
      <w:tr w14:paraId="35A6826E">
        <w:tblPrEx>
          <w:tblCellMar>
            <w:top w:w="0" w:type="dxa"/>
            <w:left w:w="108" w:type="dxa"/>
            <w:bottom w:w="0" w:type="dxa"/>
            <w:right w:w="108" w:type="dxa"/>
          </w:tblCellMar>
        </w:tblPrEx>
        <w:trPr>
          <w:trHeight w:val="348" w:hRule="atLeast"/>
        </w:trPr>
        <w:tc>
          <w:tcPr>
            <w:tcW w:w="691" w:type="dxa"/>
            <w:tcBorders>
              <w:top w:val="single" w:color="000000" w:sz="4" w:space="0"/>
              <w:left w:val="single" w:color="000000" w:sz="4" w:space="0"/>
              <w:bottom w:val="single" w:color="000000" w:sz="4" w:space="0"/>
              <w:right w:val="single" w:color="000000" w:sz="4" w:space="0"/>
            </w:tcBorders>
            <w:vAlign w:val="center"/>
          </w:tcPr>
          <w:p w14:paraId="762C8F7A">
            <w:pPr>
              <w:widowControl/>
              <w:jc w:val="center"/>
              <w:rPr>
                <w:rFonts w:eastAsia="等线"/>
                <w:b/>
                <w:bCs/>
                <w:color w:val="000000"/>
                <w:sz w:val="28"/>
                <w:szCs w:val="28"/>
              </w:rPr>
            </w:pPr>
            <w:bookmarkStart w:id="1" w:name="_Toc364167999"/>
            <w:bookmarkEnd w:id="1"/>
            <w:bookmarkStart w:id="2" w:name="_Toc364167996"/>
            <w:bookmarkEnd w:id="2"/>
            <w:bookmarkStart w:id="3" w:name="_Toc364167997"/>
            <w:bookmarkEnd w:id="3"/>
            <w:bookmarkStart w:id="4" w:name="_Toc364168000"/>
            <w:bookmarkEnd w:id="4"/>
            <w:bookmarkStart w:id="5" w:name="_Toc364167998"/>
            <w:bookmarkEnd w:id="5"/>
            <w:r>
              <w:rPr>
                <w:rFonts w:ascii="宋体" w:hAnsi="宋体"/>
                <w:b/>
                <w:bCs/>
                <w:color w:val="000000"/>
                <w:sz w:val="28"/>
                <w:szCs w:val="28"/>
                <w:lang w:bidi="en-US"/>
              </w:rPr>
              <w:t>名称</w:t>
            </w:r>
          </w:p>
        </w:tc>
        <w:tc>
          <w:tcPr>
            <w:tcW w:w="3973" w:type="dxa"/>
            <w:tcBorders>
              <w:top w:val="single" w:color="000000" w:sz="4" w:space="0"/>
              <w:left w:val="single" w:color="000000" w:sz="4" w:space="0"/>
              <w:bottom w:val="single" w:color="000000" w:sz="4" w:space="0"/>
              <w:right w:val="single" w:color="000000" w:sz="4" w:space="0"/>
            </w:tcBorders>
            <w:vAlign w:val="center"/>
          </w:tcPr>
          <w:p w14:paraId="2689250C">
            <w:pPr>
              <w:widowControl/>
              <w:jc w:val="center"/>
              <w:rPr>
                <w:rFonts w:hint="eastAsia" w:ascii="宋体" w:hAnsi="宋体"/>
                <w:b/>
                <w:bCs/>
                <w:color w:val="000000"/>
                <w:sz w:val="28"/>
                <w:szCs w:val="28"/>
                <w:lang w:bidi="en-US"/>
              </w:rPr>
            </w:pPr>
            <w:r>
              <w:rPr>
                <w:rFonts w:ascii="宋体" w:hAnsi="宋体"/>
                <w:b/>
                <w:bCs/>
                <w:color w:val="000000"/>
                <w:sz w:val="28"/>
                <w:szCs w:val="28"/>
                <w:lang w:bidi="en-US"/>
              </w:rPr>
              <w:t>工作内容</w:t>
            </w:r>
          </w:p>
          <w:p w14:paraId="765EFC39">
            <w:pPr>
              <w:widowControl/>
              <w:jc w:val="both"/>
              <w:rPr>
                <w:rFonts w:eastAsia="等线"/>
                <w:b/>
                <w:bCs/>
                <w:color w:val="000000"/>
                <w:sz w:val="28"/>
                <w:szCs w:val="28"/>
              </w:rPr>
            </w:pPr>
            <w:r>
              <w:rPr>
                <w:rFonts w:ascii="宋体" w:hAnsi="宋体"/>
                <w:b/>
                <w:bCs/>
                <w:color w:val="000000"/>
                <w:sz w:val="24"/>
                <w:szCs w:val="28"/>
                <w:lang w:bidi="en-US"/>
              </w:rPr>
              <w:t>（服务范围</w:t>
            </w:r>
            <w:r>
              <w:rPr>
                <w:rFonts w:hint="eastAsia" w:ascii="宋体" w:hAnsi="宋体"/>
                <w:b/>
                <w:bCs/>
                <w:color w:val="000000"/>
                <w:sz w:val="24"/>
                <w:szCs w:val="28"/>
                <w:lang w:val="en-US" w:eastAsia="zh-CN" w:bidi="en-US"/>
              </w:rPr>
              <w:t>以“4.技术要求</w:t>
            </w:r>
            <w:r>
              <w:rPr>
                <w:rFonts w:hint="default" w:ascii="宋体" w:hAnsi="宋体"/>
                <w:b/>
                <w:bCs/>
                <w:color w:val="000000"/>
                <w:sz w:val="24"/>
                <w:szCs w:val="28"/>
                <w:lang w:val="en-US" w:eastAsia="zh-CN" w:bidi="en-US"/>
              </w:rPr>
              <w:t>”</w:t>
            </w:r>
            <w:r>
              <w:rPr>
                <w:rFonts w:ascii="宋体" w:hAnsi="宋体"/>
                <w:b/>
                <w:bCs/>
                <w:color w:val="000000"/>
                <w:sz w:val="24"/>
                <w:szCs w:val="28"/>
                <w:lang w:bidi="en-US"/>
              </w:rPr>
              <w:t>为准）</w:t>
            </w:r>
          </w:p>
        </w:tc>
        <w:tc>
          <w:tcPr>
            <w:tcW w:w="4678" w:type="dxa"/>
            <w:tcBorders>
              <w:top w:val="single" w:color="000000" w:sz="4" w:space="0"/>
              <w:left w:val="single" w:color="000000" w:sz="4" w:space="0"/>
              <w:bottom w:val="single" w:color="000000" w:sz="4" w:space="0"/>
              <w:right w:val="single" w:color="000000" w:sz="4" w:space="0"/>
            </w:tcBorders>
            <w:vAlign w:val="center"/>
          </w:tcPr>
          <w:p w14:paraId="34FEFFC2">
            <w:pPr>
              <w:widowControl/>
              <w:jc w:val="center"/>
              <w:rPr>
                <w:rFonts w:eastAsia="等线"/>
                <w:b/>
                <w:bCs/>
                <w:color w:val="000000"/>
                <w:sz w:val="28"/>
                <w:szCs w:val="28"/>
              </w:rPr>
            </w:pPr>
            <w:r>
              <w:rPr>
                <w:rFonts w:ascii="宋体" w:hAnsi="宋体"/>
                <w:b/>
                <w:bCs/>
                <w:color w:val="000000"/>
                <w:sz w:val="28"/>
                <w:szCs w:val="28"/>
                <w:lang w:bidi="en-US"/>
              </w:rPr>
              <w:t>交付要求</w:t>
            </w:r>
          </w:p>
        </w:tc>
      </w:tr>
      <w:tr w14:paraId="2788335C">
        <w:tblPrEx>
          <w:tblCellMar>
            <w:top w:w="0" w:type="dxa"/>
            <w:left w:w="108" w:type="dxa"/>
            <w:bottom w:w="0" w:type="dxa"/>
            <w:right w:w="108" w:type="dxa"/>
          </w:tblCellMar>
        </w:tblPrEx>
        <w:trPr>
          <w:trHeight w:val="784" w:hRule="atLeast"/>
        </w:trPr>
        <w:tc>
          <w:tcPr>
            <w:tcW w:w="691" w:type="dxa"/>
            <w:vMerge w:val="restart"/>
            <w:tcBorders>
              <w:top w:val="single" w:color="000000" w:sz="4" w:space="0"/>
              <w:left w:val="single" w:color="000000" w:sz="4" w:space="0"/>
              <w:bottom w:val="single" w:color="000000" w:sz="4" w:space="0"/>
              <w:right w:val="single" w:color="000000" w:sz="4" w:space="0"/>
            </w:tcBorders>
            <w:vAlign w:val="center"/>
          </w:tcPr>
          <w:p w14:paraId="4FE67E57">
            <w:pPr>
              <w:widowControl/>
              <w:jc w:val="center"/>
              <w:rPr>
                <w:rFonts w:hint="eastAsia" w:ascii="宋体" w:hAnsi="宋体"/>
                <w:color w:val="000000"/>
                <w:sz w:val="22"/>
                <w:szCs w:val="22"/>
              </w:rPr>
            </w:pPr>
            <w:r>
              <w:rPr>
                <w:rFonts w:ascii="宋体" w:hAnsi="宋体"/>
                <w:color w:val="000000"/>
                <w:sz w:val="22"/>
                <w:szCs w:val="22"/>
                <w:lang w:bidi="en-US"/>
              </w:rPr>
              <w:t>安全体系优化</w:t>
            </w:r>
          </w:p>
        </w:tc>
        <w:tc>
          <w:tcPr>
            <w:tcW w:w="3973" w:type="dxa"/>
            <w:tcBorders>
              <w:top w:val="single" w:color="000000" w:sz="4" w:space="0"/>
              <w:left w:val="single" w:color="000000" w:sz="4" w:space="0"/>
              <w:bottom w:val="single" w:color="000000" w:sz="4" w:space="0"/>
              <w:right w:val="single" w:color="000000" w:sz="4" w:space="0"/>
            </w:tcBorders>
            <w:vAlign w:val="center"/>
          </w:tcPr>
          <w:p w14:paraId="5889BB47">
            <w:pPr>
              <w:widowControl/>
              <w:jc w:val="center"/>
              <w:rPr>
                <w:rFonts w:hint="eastAsia" w:ascii="宋体" w:hAnsi="宋体"/>
                <w:color w:val="000000"/>
                <w:sz w:val="22"/>
                <w:szCs w:val="22"/>
              </w:rPr>
            </w:pPr>
            <w:r>
              <w:rPr>
                <w:rFonts w:ascii="宋体" w:hAnsi="宋体"/>
                <w:color w:val="000000"/>
                <w:sz w:val="22"/>
                <w:szCs w:val="22"/>
                <w:lang w:bidi="en-US"/>
              </w:rPr>
              <w:t>管理咨询服务</w:t>
            </w:r>
          </w:p>
        </w:tc>
        <w:tc>
          <w:tcPr>
            <w:tcW w:w="4678" w:type="dxa"/>
            <w:tcBorders>
              <w:top w:val="single" w:color="000000" w:sz="4" w:space="0"/>
              <w:left w:val="single" w:color="000000" w:sz="4" w:space="0"/>
              <w:bottom w:val="single" w:color="000000" w:sz="4" w:space="0"/>
              <w:right w:val="single" w:color="000000" w:sz="4" w:space="0"/>
            </w:tcBorders>
            <w:vAlign w:val="center"/>
          </w:tcPr>
          <w:p w14:paraId="36E26D4F">
            <w:pPr>
              <w:widowControl/>
              <w:jc w:val="center"/>
              <w:rPr>
                <w:rFonts w:hint="eastAsia" w:ascii="宋体" w:hAnsi="宋体"/>
                <w:color w:val="000000"/>
                <w:sz w:val="22"/>
                <w:szCs w:val="22"/>
              </w:rPr>
            </w:pPr>
            <w:r>
              <w:rPr>
                <w:rFonts w:ascii="宋体" w:hAnsi="宋体"/>
                <w:color w:val="000000"/>
                <w:sz w:val="22"/>
                <w:szCs w:val="22"/>
                <w:lang w:bidi="en-US"/>
              </w:rPr>
              <w:t>《信息安全管理体系现状分析与建议报告》</w:t>
            </w:r>
          </w:p>
        </w:tc>
      </w:tr>
      <w:tr w14:paraId="7875D923">
        <w:tblPrEx>
          <w:tblCellMar>
            <w:top w:w="0" w:type="dxa"/>
            <w:left w:w="108" w:type="dxa"/>
            <w:bottom w:w="0" w:type="dxa"/>
            <w:right w:w="108" w:type="dxa"/>
          </w:tblCellMar>
        </w:tblPrEx>
        <w:trPr>
          <w:trHeight w:val="842" w:hRule="atLeast"/>
        </w:trPr>
        <w:tc>
          <w:tcPr>
            <w:tcW w:w="691" w:type="dxa"/>
            <w:vMerge w:val="continue"/>
            <w:tcBorders>
              <w:top w:val="single" w:color="000000" w:sz="4" w:space="0"/>
              <w:left w:val="single" w:color="000000" w:sz="4" w:space="0"/>
              <w:bottom w:val="single" w:color="000000" w:sz="4" w:space="0"/>
              <w:right w:val="single" w:color="000000" w:sz="4" w:space="0"/>
            </w:tcBorders>
            <w:vAlign w:val="center"/>
          </w:tcPr>
          <w:p w14:paraId="2F272B16">
            <w:pPr>
              <w:jc w:val="center"/>
              <w:rPr>
                <w:rFonts w:hint="eastAsia" w:ascii="宋体" w:hAnsi="宋体"/>
                <w:color w:val="000000"/>
                <w:sz w:val="22"/>
                <w:szCs w:val="22"/>
              </w:rPr>
            </w:pPr>
          </w:p>
        </w:tc>
        <w:tc>
          <w:tcPr>
            <w:tcW w:w="3973" w:type="dxa"/>
            <w:tcBorders>
              <w:top w:val="single" w:color="000000" w:sz="4" w:space="0"/>
              <w:left w:val="single" w:color="000000" w:sz="4" w:space="0"/>
              <w:bottom w:val="single" w:color="000000" w:sz="4" w:space="0"/>
              <w:right w:val="single" w:color="000000" w:sz="4" w:space="0"/>
            </w:tcBorders>
            <w:vAlign w:val="center"/>
          </w:tcPr>
          <w:p w14:paraId="0CACBC98">
            <w:pPr>
              <w:widowControl/>
              <w:jc w:val="center"/>
              <w:rPr>
                <w:rFonts w:hint="eastAsia" w:ascii="宋体" w:hAnsi="宋体"/>
                <w:color w:val="000000"/>
                <w:sz w:val="22"/>
                <w:szCs w:val="22"/>
              </w:rPr>
            </w:pPr>
            <w:r>
              <w:rPr>
                <w:rFonts w:ascii="宋体" w:hAnsi="宋体"/>
                <w:color w:val="000000"/>
                <w:sz w:val="22"/>
                <w:szCs w:val="22"/>
                <w:lang w:bidi="en-US"/>
              </w:rPr>
              <w:t>日常安全咨询服务</w:t>
            </w:r>
          </w:p>
        </w:tc>
        <w:tc>
          <w:tcPr>
            <w:tcW w:w="4678" w:type="dxa"/>
            <w:tcBorders>
              <w:top w:val="single" w:color="000000" w:sz="4" w:space="0"/>
              <w:left w:val="single" w:color="000000" w:sz="4" w:space="0"/>
              <w:bottom w:val="single" w:color="000000" w:sz="4" w:space="0"/>
              <w:right w:val="single" w:color="000000" w:sz="4" w:space="0"/>
            </w:tcBorders>
            <w:vAlign w:val="center"/>
          </w:tcPr>
          <w:p w14:paraId="62CAB141">
            <w:pPr>
              <w:widowControl/>
              <w:jc w:val="center"/>
              <w:rPr>
                <w:rFonts w:hint="eastAsia" w:ascii="宋体" w:hAnsi="宋体"/>
                <w:color w:val="000000"/>
                <w:sz w:val="22"/>
                <w:szCs w:val="22"/>
                <w:lang w:bidi="en-US"/>
              </w:rPr>
            </w:pPr>
            <w:r>
              <w:rPr>
                <w:rFonts w:ascii="宋体" w:hAnsi="宋体"/>
                <w:color w:val="000000"/>
                <w:sz w:val="22"/>
                <w:szCs w:val="22"/>
                <w:lang w:bidi="en-US"/>
              </w:rPr>
              <w:t>《安全事件处置报告》</w:t>
            </w:r>
          </w:p>
          <w:p w14:paraId="69E5B6A5">
            <w:pPr>
              <w:widowControl/>
              <w:jc w:val="center"/>
              <w:rPr>
                <w:rFonts w:hint="eastAsia" w:ascii="宋体" w:hAnsi="宋体"/>
                <w:color w:val="000000"/>
                <w:sz w:val="22"/>
                <w:szCs w:val="22"/>
                <w:lang w:bidi="en-US"/>
              </w:rPr>
            </w:pPr>
            <w:r>
              <w:rPr>
                <w:rFonts w:ascii="宋体" w:hAnsi="宋体"/>
                <w:color w:val="000000"/>
                <w:sz w:val="22"/>
                <w:szCs w:val="22"/>
                <w:lang w:bidi="en-US"/>
              </w:rPr>
              <w:t>《信息安全现状分析报告》</w:t>
            </w:r>
          </w:p>
          <w:p w14:paraId="59CBBF46">
            <w:pPr>
              <w:widowControl/>
              <w:jc w:val="center"/>
              <w:rPr>
                <w:rFonts w:hint="eastAsia" w:ascii="宋体" w:hAnsi="宋体"/>
                <w:color w:val="000000"/>
                <w:sz w:val="22"/>
                <w:szCs w:val="22"/>
              </w:rPr>
            </w:pPr>
            <w:r>
              <w:rPr>
                <w:rFonts w:ascii="宋体" w:hAnsi="宋体"/>
                <w:color w:val="000000"/>
                <w:sz w:val="22"/>
                <w:szCs w:val="22"/>
                <w:lang w:bidi="en-US"/>
              </w:rPr>
              <w:t>《安全运行流程闭环管理执行情况报告》</w:t>
            </w:r>
          </w:p>
        </w:tc>
      </w:tr>
      <w:tr w14:paraId="40EA93D6">
        <w:tblPrEx>
          <w:tblCellMar>
            <w:top w:w="0" w:type="dxa"/>
            <w:left w:w="108" w:type="dxa"/>
            <w:bottom w:w="0" w:type="dxa"/>
            <w:right w:w="108" w:type="dxa"/>
          </w:tblCellMar>
        </w:tblPrEx>
        <w:trPr>
          <w:trHeight w:val="459" w:hRule="atLeast"/>
        </w:trPr>
        <w:tc>
          <w:tcPr>
            <w:tcW w:w="691" w:type="dxa"/>
            <w:vMerge w:val="restart"/>
            <w:tcBorders>
              <w:top w:val="single" w:color="000000" w:sz="4" w:space="0"/>
              <w:left w:val="single" w:color="000000" w:sz="4" w:space="0"/>
              <w:bottom w:val="nil"/>
              <w:right w:val="single" w:color="000000" w:sz="4" w:space="0"/>
            </w:tcBorders>
            <w:vAlign w:val="center"/>
          </w:tcPr>
          <w:p w14:paraId="5C180574">
            <w:pPr>
              <w:widowControl/>
              <w:jc w:val="center"/>
              <w:rPr>
                <w:rFonts w:eastAsia="等线"/>
                <w:color w:val="000000"/>
                <w:sz w:val="22"/>
                <w:szCs w:val="22"/>
              </w:rPr>
            </w:pPr>
            <w:r>
              <w:rPr>
                <w:rFonts w:ascii="宋体" w:hAnsi="宋体"/>
                <w:color w:val="000000"/>
                <w:sz w:val="22"/>
                <w:szCs w:val="22"/>
                <w:lang w:bidi="en-US"/>
              </w:rPr>
              <w:t>安全体系运营</w:t>
            </w:r>
          </w:p>
        </w:tc>
        <w:tc>
          <w:tcPr>
            <w:tcW w:w="3973" w:type="dxa"/>
            <w:tcBorders>
              <w:top w:val="single" w:color="000000" w:sz="4" w:space="0"/>
              <w:left w:val="single" w:color="000000" w:sz="4" w:space="0"/>
              <w:bottom w:val="single" w:color="000000" w:sz="4" w:space="0"/>
              <w:right w:val="single" w:color="000000" w:sz="4" w:space="0"/>
            </w:tcBorders>
            <w:vAlign w:val="center"/>
          </w:tcPr>
          <w:p w14:paraId="20962928">
            <w:pPr>
              <w:widowControl/>
              <w:jc w:val="center"/>
              <w:rPr>
                <w:rFonts w:hint="eastAsia" w:ascii="宋体" w:hAnsi="宋体"/>
                <w:color w:val="000000"/>
                <w:sz w:val="22"/>
                <w:szCs w:val="22"/>
              </w:rPr>
            </w:pPr>
            <w:r>
              <w:rPr>
                <w:rFonts w:ascii="宋体" w:hAnsi="宋体"/>
                <w:color w:val="000000"/>
                <w:sz w:val="22"/>
                <w:szCs w:val="22"/>
                <w:lang w:bidi="en-US"/>
              </w:rPr>
              <w:t>资产管理</w:t>
            </w:r>
          </w:p>
        </w:tc>
        <w:tc>
          <w:tcPr>
            <w:tcW w:w="4678" w:type="dxa"/>
            <w:tcBorders>
              <w:top w:val="single" w:color="000000" w:sz="4" w:space="0"/>
              <w:left w:val="single" w:color="000000" w:sz="4" w:space="0"/>
              <w:bottom w:val="single" w:color="000000" w:sz="4" w:space="0"/>
              <w:right w:val="single" w:color="000000" w:sz="4" w:space="0"/>
            </w:tcBorders>
            <w:vAlign w:val="center"/>
          </w:tcPr>
          <w:p w14:paraId="3BB59A3B">
            <w:pPr>
              <w:widowControl/>
              <w:jc w:val="center"/>
              <w:rPr>
                <w:rFonts w:eastAsia="等线"/>
                <w:color w:val="000000"/>
                <w:sz w:val="22"/>
                <w:szCs w:val="22"/>
              </w:rPr>
            </w:pPr>
            <w:r>
              <w:rPr>
                <w:rFonts w:ascii="宋体" w:hAnsi="宋体"/>
                <w:color w:val="000000"/>
                <w:sz w:val="22"/>
                <w:szCs w:val="22"/>
                <w:lang w:bidi="en-US"/>
              </w:rPr>
              <w:t>《信息资产台账》</w:t>
            </w:r>
          </w:p>
        </w:tc>
      </w:tr>
      <w:tr w14:paraId="4DE78DE9">
        <w:tblPrEx>
          <w:tblCellMar>
            <w:top w:w="0" w:type="dxa"/>
            <w:left w:w="108" w:type="dxa"/>
            <w:bottom w:w="0" w:type="dxa"/>
            <w:right w:w="108" w:type="dxa"/>
          </w:tblCellMar>
        </w:tblPrEx>
        <w:trPr>
          <w:trHeight w:val="420" w:hRule="atLeast"/>
        </w:trPr>
        <w:tc>
          <w:tcPr>
            <w:tcW w:w="691" w:type="dxa"/>
            <w:vMerge w:val="continue"/>
            <w:tcBorders>
              <w:top w:val="nil"/>
              <w:left w:val="single" w:color="000000" w:sz="4" w:space="0"/>
              <w:bottom w:val="nil"/>
              <w:right w:val="single" w:color="000000" w:sz="4" w:space="0"/>
            </w:tcBorders>
            <w:vAlign w:val="center"/>
          </w:tcPr>
          <w:p w14:paraId="023660BF">
            <w:pPr>
              <w:jc w:val="center"/>
              <w:rPr>
                <w:rFonts w:eastAsia="等线"/>
                <w:color w:val="000000"/>
                <w:sz w:val="22"/>
                <w:szCs w:val="22"/>
              </w:rPr>
            </w:pPr>
          </w:p>
        </w:tc>
        <w:tc>
          <w:tcPr>
            <w:tcW w:w="3973" w:type="dxa"/>
            <w:tcBorders>
              <w:top w:val="single" w:color="000000" w:sz="4" w:space="0"/>
              <w:left w:val="single" w:color="000000" w:sz="4" w:space="0"/>
              <w:bottom w:val="single" w:color="000000" w:sz="4" w:space="0"/>
              <w:right w:val="single" w:color="000000" w:sz="4" w:space="0"/>
            </w:tcBorders>
            <w:vAlign w:val="center"/>
          </w:tcPr>
          <w:p w14:paraId="7B2A375B">
            <w:pPr>
              <w:widowControl/>
              <w:jc w:val="center"/>
              <w:rPr>
                <w:rFonts w:hint="eastAsia" w:ascii="宋体" w:hAnsi="宋体"/>
                <w:color w:val="000000"/>
                <w:sz w:val="22"/>
                <w:szCs w:val="22"/>
              </w:rPr>
            </w:pPr>
            <w:r>
              <w:rPr>
                <w:rFonts w:ascii="宋体" w:hAnsi="宋体"/>
                <w:color w:val="000000"/>
                <w:sz w:val="22"/>
                <w:szCs w:val="22"/>
                <w:lang w:bidi="en-US"/>
              </w:rPr>
              <w:t>安全基线优化</w:t>
            </w:r>
          </w:p>
        </w:tc>
        <w:tc>
          <w:tcPr>
            <w:tcW w:w="4678" w:type="dxa"/>
            <w:tcBorders>
              <w:top w:val="single" w:color="000000" w:sz="4" w:space="0"/>
              <w:left w:val="single" w:color="000000" w:sz="4" w:space="0"/>
              <w:bottom w:val="single" w:color="000000" w:sz="4" w:space="0"/>
              <w:right w:val="single" w:color="000000" w:sz="4" w:space="0"/>
            </w:tcBorders>
            <w:vAlign w:val="center"/>
          </w:tcPr>
          <w:p w14:paraId="6F4E68C0">
            <w:pPr>
              <w:widowControl/>
              <w:jc w:val="center"/>
              <w:rPr>
                <w:rFonts w:ascii="宋体" w:hAnsi="宋体"/>
                <w:color w:val="000000"/>
                <w:sz w:val="22"/>
                <w:szCs w:val="22"/>
                <w:lang w:bidi="en-US"/>
              </w:rPr>
            </w:pPr>
            <w:r>
              <w:rPr>
                <w:rFonts w:ascii="宋体" w:hAnsi="宋体"/>
                <w:color w:val="000000"/>
                <w:sz w:val="22"/>
                <w:szCs w:val="22"/>
                <w:lang w:bidi="en-US"/>
              </w:rPr>
              <w:t>《安全基线标准手册》</w:t>
            </w:r>
          </w:p>
          <w:p w14:paraId="1D9A9234">
            <w:pPr>
              <w:widowControl/>
              <w:jc w:val="center"/>
              <w:rPr>
                <w:rFonts w:hint="eastAsia" w:ascii="宋体" w:hAnsi="宋体"/>
                <w:color w:val="000000"/>
                <w:sz w:val="22"/>
                <w:szCs w:val="22"/>
              </w:rPr>
            </w:pPr>
            <w:r>
              <w:rPr>
                <w:rFonts w:ascii="宋体" w:hAnsi="宋体"/>
                <w:color w:val="000000"/>
                <w:sz w:val="22"/>
                <w:szCs w:val="22"/>
              </w:rPr>
              <w:t>《安全基线优化实施手册》</w:t>
            </w:r>
          </w:p>
        </w:tc>
      </w:tr>
      <w:tr w14:paraId="5776B6BF">
        <w:tblPrEx>
          <w:tblCellMar>
            <w:top w:w="0" w:type="dxa"/>
            <w:left w:w="108" w:type="dxa"/>
            <w:bottom w:w="0" w:type="dxa"/>
            <w:right w:w="108" w:type="dxa"/>
          </w:tblCellMar>
        </w:tblPrEx>
        <w:trPr>
          <w:trHeight w:val="826" w:hRule="atLeast"/>
        </w:trPr>
        <w:tc>
          <w:tcPr>
            <w:tcW w:w="691" w:type="dxa"/>
            <w:vMerge w:val="continue"/>
            <w:tcBorders>
              <w:top w:val="nil"/>
              <w:left w:val="single" w:color="000000" w:sz="4" w:space="0"/>
              <w:bottom w:val="nil"/>
              <w:right w:val="single" w:color="000000" w:sz="4" w:space="0"/>
            </w:tcBorders>
            <w:vAlign w:val="center"/>
          </w:tcPr>
          <w:p w14:paraId="473C0640">
            <w:pPr>
              <w:jc w:val="center"/>
              <w:rPr>
                <w:rFonts w:eastAsia="等线"/>
                <w:color w:val="000000"/>
                <w:sz w:val="22"/>
                <w:szCs w:val="22"/>
              </w:rPr>
            </w:pPr>
          </w:p>
        </w:tc>
        <w:tc>
          <w:tcPr>
            <w:tcW w:w="3973" w:type="dxa"/>
            <w:tcBorders>
              <w:top w:val="single" w:color="000000" w:sz="4" w:space="0"/>
              <w:left w:val="single" w:color="000000" w:sz="4" w:space="0"/>
              <w:bottom w:val="single" w:color="000000" w:sz="4" w:space="0"/>
              <w:right w:val="single" w:color="000000" w:sz="4" w:space="0"/>
            </w:tcBorders>
            <w:vAlign w:val="center"/>
          </w:tcPr>
          <w:p w14:paraId="64C8A096">
            <w:pPr>
              <w:widowControl/>
              <w:jc w:val="center"/>
              <w:rPr>
                <w:rFonts w:hint="eastAsia" w:ascii="宋体" w:hAnsi="宋体"/>
                <w:color w:val="000000"/>
                <w:sz w:val="22"/>
                <w:szCs w:val="22"/>
              </w:rPr>
            </w:pPr>
            <w:r>
              <w:rPr>
                <w:rFonts w:ascii="宋体" w:hAnsi="宋体"/>
                <w:color w:val="000000"/>
                <w:sz w:val="22"/>
                <w:szCs w:val="22"/>
                <w:lang w:bidi="en-US"/>
              </w:rPr>
              <w:t>安全设备运维</w:t>
            </w:r>
          </w:p>
        </w:tc>
        <w:tc>
          <w:tcPr>
            <w:tcW w:w="4678" w:type="dxa"/>
            <w:tcBorders>
              <w:top w:val="single" w:color="000000" w:sz="4" w:space="0"/>
              <w:left w:val="single" w:color="000000" w:sz="4" w:space="0"/>
              <w:bottom w:val="single" w:color="000000" w:sz="4" w:space="0"/>
              <w:right w:val="single" w:color="000000" w:sz="4" w:space="0"/>
            </w:tcBorders>
            <w:vAlign w:val="center"/>
          </w:tcPr>
          <w:p w14:paraId="0E938852">
            <w:pPr>
              <w:widowControl/>
              <w:jc w:val="center"/>
              <w:rPr>
                <w:rFonts w:hint="eastAsia" w:ascii="宋体" w:hAnsi="宋体"/>
                <w:color w:val="000000"/>
                <w:sz w:val="22"/>
                <w:szCs w:val="22"/>
                <w:lang w:bidi="en-US"/>
              </w:rPr>
            </w:pPr>
            <w:r>
              <w:rPr>
                <w:rFonts w:ascii="宋体" w:hAnsi="宋体"/>
                <w:color w:val="000000"/>
                <w:sz w:val="22"/>
                <w:szCs w:val="22"/>
                <w:lang w:bidi="en-US"/>
              </w:rPr>
              <w:t>《信息安全巡检周报》</w:t>
            </w:r>
          </w:p>
          <w:p w14:paraId="518F17A5">
            <w:pPr>
              <w:widowControl/>
              <w:jc w:val="center"/>
              <w:rPr>
                <w:rFonts w:hint="eastAsia" w:ascii="宋体" w:hAnsi="宋体"/>
                <w:color w:val="000000"/>
                <w:sz w:val="22"/>
                <w:szCs w:val="22"/>
                <w:lang w:bidi="en-US"/>
              </w:rPr>
            </w:pPr>
            <w:r>
              <w:rPr>
                <w:rFonts w:ascii="宋体" w:hAnsi="宋体"/>
                <w:color w:val="000000"/>
                <w:sz w:val="22"/>
                <w:szCs w:val="22"/>
                <w:lang w:bidi="en-US"/>
              </w:rPr>
              <w:t>《安全设备故障处置报告》</w:t>
            </w:r>
          </w:p>
          <w:p w14:paraId="789D983E">
            <w:pPr>
              <w:widowControl/>
              <w:jc w:val="center"/>
              <w:rPr>
                <w:rFonts w:hint="eastAsia" w:ascii="宋体" w:hAnsi="宋体"/>
                <w:color w:val="000000"/>
                <w:sz w:val="22"/>
                <w:szCs w:val="22"/>
                <w:lang w:bidi="en-US"/>
              </w:rPr>
            </w:pPr>
            <w:r>
              <w:rPr>
                <w:rFonts w:ascii="宋体" w:hAnsi="宋体"/>
                <w:color w:val="000000"/>
                <w:sz w:val="22"/>
                <w:szCs w:val="22"/>
                <w:lang w:bidi="en-US"/>
              </w:rPr>
              <w:t>《安全策略调整记录表》</w:t>
            </w:r>
          </w:p>
          <w:p w14:paraId="2C1A64D1">
            <w:pPr>
              <w:widowControl/>
              <w:jc w:val="center"/>
              <w:rPr>
                <w:rFonts w:hint="eastAsia" w:ascii="宋体" w:hAnsi="宋体"/>
                <w:color w:val="000000"/>
                <w:sz w:val="22"/>
                <w:szCs w:val="22"/>
                <w:lang w:bidi="en-US"/>
              </w:rPr>
            </w:pPr>
            <w:r>
              <w:rPr>
                <w:rFonts w:ascii="宋体" w:hAnsi="宋体"/>
                <w:color w:val="000000"/>
                <w:sz w:val="22"/>
                <w:szCs w:val="22"/>
                <w:lang w:bidi="en-US"/>
              </w:rPr>
              <w:t>《安全设备整改加固报告》</w:t>
            </w:r>
          </w:p>
          <w:p w14:paraId="7FC58470">
            <w:pPr>
              <w:widowControl/>
              <w:jc w:val="center"/>
              <w:rPr>
                <w:rFonts w:hint="eastAsia" w:ascii="宋体" w:hAnsi="宋体"/>
                <w:color w:val="000000"/>
                <w:sz w:val="22"/>
                <w:szCs w:val="22"/>
              </w:rPr>
            </w:pPr>
            <w:r>
              <w:rPr>
                <w:rFonts w:ascii="宋体" w:hAnsi="宋体"/>
                <w:color w:val="000000"/>
                <w:sz w:val="22"/>
                <w:szCs w:val="22"/>
                <w:lang w:bidi="en-US"/>
              </w:rPr>
              <w:t>《安全事件处置报告》</w:t>
            </w:r>
          </w:p>
        </w:tc>
      </w:tr>
      <w:tr w14:paraId="208BA32C">
        <w:tblPrEx>
          <w:tblCellMar>
            <w:top w:w="0" w:type="dxa"/>
            <w:left w:w="108" w:type="dxa"/>
            <w:bottom w:w="0" w:type="dxa"/>
            <w:right w:w="108" w:type="dxa"/>
          </w:tblCellMar>
        </w:tblPrEx>
        <w:trPr>
          <w:trHeight w:val="395" w:hRule="atLeast"/>
        </w:trPr>
        <w:tc>
          <w:tcPr>
            <w:tcW w:w="691" w:type="dxa"/>
            <w:vMerge w:val="continue"/>
            <w:tcBorders>
              <w:top w:val="nil"/>
              <w:left w:val="single" w:color="000000" w:sz="4" w:space="0"/>
              <w:bottom w:val="nil"/>
              <w:right w:val="single" w:color="000000" w:sz="4" w:space="0"/>
            </w:tcBorders>
            <w:vAlign w:val="center"/>
          </w:tcPr>
          <w:p w14:paraId="004D932F">
            <w:pPr>
              <w:jc w:val="center"/>
              <w:rPr>
                <w:rFonts w:eastAsia="等线"/>
                <w:color w:val="000000"/>
                <w:sz w:val="22"/>
                <w:szCs w:val="22"/>
              </w:rPr>
            </w:pPr>
          </w:p>
        </w:tc>
        <w:tc>
          <w:tcPr>
            <w:tcW w:w="3973" w:type="dxa"/>
            <w:tcBorders>
              <w:top w:val="single" w:color="000000" w:sz="4" w:space="0"/>
              <w:left w:val="single" w:color="000000" w:sz="4" w:space="0"/>
              <w:bottom w:val="single" w:color="000000" w:sz="4" w:space="0"/>
              <w:right w:val="single" w:color="000000" w:sz="4" w:space="0"/>
            </w:tcBorders>
            <w:vAlign w:val="center"/>
          </w:tcPr>
          <w:p w14:paraId="3B1424BA">
            <w:pPr>
              <w:widowControl/>
              <w:jc w:val="center"/>
              <w:rPr>
                <w:rFonts w:hint="eastAsia" w:ascii="宋体" w:hAnsi="宋体"/>
                <w:color w:val="000000"/>
                <w:sz w:val="22"/>
                <w:szCs w:val="22"/>
              </w:rPr>
            </w:pPr>
            <w:r>
              <w:rPr>
                <w:rFonts w:ascii="宋体" w:hAnsi="宋体"/>
                <w:color w:val="000000"/>
                <w:sz w:val="22"/>
                <w:szCs w:val="22"/>
                <w:lang w:bidi="en-US"/>
              </w:rPr>
              <w:t>安全监测优化服务</w:t>
            </w:r>
          </w:p>
        </w:tc>
        <w:tc>
          <w:tcPr>
            <w:tcW w:w="4678" w:type="dxa"/>
            <w:tcBorders>
              <w:top w:val="single" w:color="000000" w:sz="4" w:space="0"/>
              <w:left w:val="single" w:color="000000" w:sz="4" w:space="0"/>
              <w:bottom w:val="single" w:color="000000" w:sz="4" w:space="0"/>
              <w:right w:val="single" w:color="000000" w:sz="4" w:space="0"/>
            </w:tcBorders>
            <w:vAlign w:val="center"/>
          </w:tcPr>
          <w:p w14:paraId="0ED1C552">
            <w:pPr>
              <w:widowControl/>
              <w:jc w:val="center"/>
              <w:rPr>
                <w:rFonts w:hint="eastAsia" w:ascii="宋体" w:hAnsi="宋体"/>
                <w:color w:val="000000"/>
                <w:sz w:val="22"/>
                <w:szCs w:val="22"/>
              </w:rPr>
            </w:pPr>
            <w:r>
              <w:rPr>
                <w:rFonts w:ascii="宋体" w:hAnsi="宋体"/>
                <w:color w:val="000000"/>
                <w:sz w:val="22"/>
                <w:szCs w:val="22"/>
                <w:lang w:bidi="en-US"/>
              </w:rPr>
              <w:t>《安全运营建议》</w:t>
            </w:r>
          </w:p>
        </w:tc>
      </w:tr>
      <w:tr w14:paraId="5C4B8829">
        <w:tblPrEx>
          <w:tblCellMar>
            <w:top w:w="0" w:type="dxa"/>
            <w:left w:w="108" w:type="dxa"/>
            <w:bottom w:w="0" w:type="dxa"/>
            <w:right w:w="108" w:type="dxa"/>
          </w:tblCellMar>
        </w:tblPrEx>
        <w:trPr>
          <w:trHeight w:val="401" w:hRule="atLeast"/>
        </w:trPr>
        <w:tc>
          <w:tcPr>
            <w:tcW w:w="691" w:type="dxa"/>
            <w:vMerge w:val="continue"/>
            <w:tcBorders>
              <w:top w:val="nil"/>
              <w:left w:val="single" w:color="000000" w:sz="4" w:space="0"/>
              <w:bottom w:val="nil"/>
              <w:right w:val="single" w:color="000000" w:sz="4" w:space="0"/>
            </w:tcBorders>
            <w:vAlign w:val="center"/>
          </w:tcPr>
          <w:p w14:paraId="27FF944B">
            <w:pPr>
              <w:jc w:val="center"/>
              <w:rPr>
                <w:rFonts w:eastAsia="等线"/>
                <w:color w:val="000000"/>
                <w:sz w:val="22"/>
                <w:szCs w:val="22"/>
              </w:rPr>
            </w:pPr>
          </w:p>
        </w:tc>
        <w:tc>
          <w:tcPr>
            <w:tcW w:w="3973" w:type="dxa"/>
            <w:tcBorders>
              <w:top w:val="single" w:color="000000" w:sz="4" w:space="0"/>
              <w:left w:val="single" w:color="000000" w:sz="4" w:space="0"/>
              <w:bottom w:val="single" w:color="000000" w:sz="4" w:space="0"/>
              <w:right w:val="single" w:color="000000" w:sz="4" w:space="0"/>
            </w:tcBorders>
            <w:vAlign w:val="center"/>
          </w:tcPr>
          <w:p w14:paraId="12E8DBC3">
            <w:pPr>
              <w:widowControl/>
              <w:jc w:val="center"/>
              <w:rPr>
                <w:rFonts w:hint="eastAsia" w:ascii="宋体" w:hAnsi="宋体"/>
                <w:color w:val="000000"/>
                <w:sz w:val="22"/>
                <w:szCs w:val="22"/>
              </w:rPr>
            </w:pPr>
            <w:r>
              <w:rPr>
                <w:rFonts w:ascii="宋体" w:hAnsi="宋体"/>
                <w:color w:val="000000"/>
                <w:sz w:val="22"/>
                <w:szCs w:val="22"/>
                <w:lang w:bidi="en-US"/>
              </w:rPr>
              <w:t>安全漏洞扫描与管理</w:t>
            </w:r>
          </w:p>
        </w:tc>
        <w:tc>
          <w:tcPr>
            <w:tcW w:w="4678" w:type="dxa"/>
            <w:tcBorders>
              <w:top w:val="single" w:color="000000" w:sz="4" w:space="0"/>
              <w:left w:val="single" w:color="000000" w:sz="4" w:space="0"/>
              <w:bottom w:val="single" w:color="000000" w:sz="4" w:space="0"/>
              <w:right w:val="single" w:color="000000" w:sz="4" w:space="0"/>
            </w:tcBorders>
            <w:vAlign w:val="center"/>
          </w:tcPr>
          <w:p w14:paraId="0A438B81">
            <w:pPr>
              <w:widowControl/>
              <w:jc w:val="center"/>
              <w:rPr>
                <w:rFonts w:hint="eastAsia" w:ascii="宋体" w:hAnsi="宋体"/>
                <w:color w:val="000000"/>
                <w:sz w:val="22"/>
                <w:szCs w:val="22"/>
              </w:rPr>
            </w:pPr>
            <w:r>
              <w:rPr>
                <w:rFonts w:ascii="宋体" w:hAnsi="宋体"/>
                <w:color w:val="000000"/>
                <w:sz w:val="22"/>
                <w:szCs w:val="22"/>
                <w:lang w:bidi="en-US"/>
              </w:rPr>
              <w:t>《安全整改通知书下发情况汇总表》</w:t>
            </w:r>
          </w:p>
        </w:tc>
      </w:tr>
      <w:tr w14:paraId="64BB0EDB">
        <w:tblPrEx>
          <w:tblCellMar>
            <w:top w:w="0" w:type="dxa"/>
            <w:left w:w="108" w:type="dxa"/>
            <w:bottom w:w="0" w:type="dxa"/>
            <w:right w:w="108" w:type="dxa"/>
          </w:tblCellMar>
        </w:tblPrEx>
        <w:trPr>
          <w:trHeight w:val="1046" w:hRule="atLeast"/>
        </w:trPr>
        <w:tc>
          <w:tcPr>
            <w:tcW w:w="691" w:type="dxa"/>
            <w:vMerge w:val="continue"/>
            <w:tcBorders>
              <w:top w:val="nil"/>
              <w:left w:val="single" w:color="000000" w:sz="4" w:space="0"/>
              <w:bottom w:val="nil"/>
              <w:right w:val="single" w:color="000000" w:sz="4" w:space="0"/>
            </w:tcBorders>
            <w:vAlign w:val="center"/>
          </w:tcPr>
          <w:p w14:paraId="58B384DB">
            <w:pPr>
              <w:jc w:val="center"/>
              <w:rPr>
                <w:rFonts w:eastAsia="等线"/>
                <w:color w:val="000000"/>
                <w:sz w:val="22"/>
                <w:szCs w:val="22"/>
              </w:rPr>
            </w:pPr>
          </w:p>
        </w:tc>
        <w:tc>
          <w:tcPr>
            <w:tcW w:w="3973" w:type="dxa"/>
            <w:tcBorders>
              <w:top w:val="single" w:color="000000" w:sz="4" w:space="0"/>
              <w:left w:val="single" w:color="000000" w:sz="4" w:space="0"/>
              <w:bottom w:val="single" w:color="000000" w:sz="4" w:space="0"/>
              <w:right w:val="single" w:color="000000" w:sz="4" w:space="0"/>
            </w:tcBorders>
            <w:vAlign w:val="center"/>
          </w:tcPr>
          <w:p w14:paraId="79FC97FA">
            <w:pPr>
              <w:widowControl/>
              <w:jc w:val="center"/>
              <w:rPr>
                <w:rFonts w:hint="eastAsia" w:ascii="宋体" w:hAnsi="宋体"/>
                <w:color w:val="000000"/>
                <w:sz w:val="22"/>
                <w:szCs w:val="22"/>
              </w:rPr>
            </w:pPr>
            <w:r>
              <w:rPr>
                <w:rFonts w:ascii="宋体" w:hAnsi="宋体"/>
                <w:color w:val="000000"/>
                <w:sz w:val="22"/>
                <w:szCs w:val="22"/>
                <w:lang w:bidi="en-US"/>
              </w:rPr>
              <w:t>渗透测试</w:t>
            </w:r>
          </w:p>
        </w:tc>
        <w:tc>
          <w:tcPr>
            <w:tcW w:w="4678" w:type="dxa"/>
            <w:tcBorders>
              <w:top w:val="single" w:color="000000" w:sz="4" w:space="0"/>
              <w:left w:val="single" w:color="000000" w:sz="4" w:space="0"/>
              <w:bottom w:val="single" w:color="000000" w:sz="4" w:space="0"/>
              <w:right w:val="single" w:color="000000" w:sz="4" w:space="0"/>
            </w:tcBorders>
            <w:vAlign w:val="center"/>
          </w:tcPr>
          <w:p w14:paraId="6A5F4A87">
            <w:pPr>
              <w:widowControl/>
              <w:jc w:val="center"/>
              <w:rPr>
                <w:rFonts w:hint="eastAsia" w:ascii="宋体" w:hAnsi="宋体"/>
                <w:color w:val="000000"/>
                <w:sz w:val="22"/>
                <w:szCs w:val="22"/>
              </w:rPr>
            </w:pPr>
            <w:r>
              <w:rPr>
                <w:rFonts w:ascii="宋体" w:hAnsi="宋体"/>
                <w:color w:val="000000"/>
                <w:sz w:val="22"/>
                <w:szCs w:val="22"/>
                <w:lang w:bidi="en-US"/>
              </w:rPr>
              <w:t>《渗透测试报告》</w:t>
            </w:r>
          </w:p>
        </w:tc>
      </w:tr>
      <w:tr w14:paraId="5C9CE127">
        <w:tblPrEx>
          <w:tblCellMar>
            <w:top w:w="0" w:type="dxa"/>
            <w:left w:w="108" w:type="dxa"/>
            <w:bottom w:w="0" w:type="dxa"/>
            <w:right w:w="108" w:type="dxa"/>
          </w:tblCellMar>
        </w:tblPrEx>
        <w:trPr>
          <w:trHeight w:val="403" w:hRule="atLeast"/>
        </w:trPr>
        <w:tc>
          <w:tcPr>
            <w:tcW w:w="691" w:type="dxa"/>
            <w:vMerge w:val="continue"/>
            <w:tcBorders>
              <w:top w:val="nil"/>
              <w:left w:val="single" w:color="000000" w:sz="4" w:space="0"/>
              <w:bottom w:val="nil"/>
              <w:right w:val="single" w:color="000000" w:sz="4" w:space="0"/>
            </w:tcBorders>
            <w:vAlign w:val="center"/>
          </w:tcPr>
          <w:p w14:paraId="7735E463">
            <w:pPr>
              <w:jc w:val="center"/>
              <w:rPr>
                <w:rFonts w:eastAsia="等线"/>
                <w:color w:val="000000"/>
                <w:sz w:val="22"/>
                <w:szCs w:val="22"/>
              </w:rPr>
            </w:pPr>
          </w:p>
        </w:tc>
        <w:tc>
          <w:tcPr>
            <w:tcW w:w="3973" w:type="dxa"/>
            <w:tcBorders>
              <w:top w:val="single" w:color="000000" w:sz="4" w:space="0"/>
              <w:left w:val="single" w:color="000000" w:sz="4" w:space="0"/>
              <w:bottom w:val="single" w:color="000000" w:sz="4" w:space="0"/>
              <w:right w:val="single" w:color="000000" w:sz="4" w:space="0"/>
            </w:tcBorders>
            <w:vAlign w:val="center"/>
          </w:tcPr>
          <w:p w14:paraId="69879B54">
            <w:pPr>
              <w:widowControl/>
              <w:jc w:val="center"/>
              <w:rPr>
                <w:rFonts w:hint="eastAsia" w:ascii="宋体" w:hAnsi="宋体"/>
                <w:color w:val="000000"/>
                <w:sz w:val="22"/>
                <w:szCs w:val="22"/>
              </w:rPr>
            </w:pPr>
            <w:r>
              <w:rPr>
                <w:rFonts w:ascii="宋体" w:hAnsi="宋体"/>
                <w:color w:val="000000"/>
                <w:sz w:val="22"/>
                <w:szCs w:val="22"/>
                <w:lang w:bidi="en-US"/>
              </w:rPr>
              <w:t>入网安全评测</w:t>
            </w:r>
          </w:p>
        </w:tc>
        <w:tc>
          <w:tcPr>
            <w:tcW w:w="4678" w:type="dxa"/>
            <w:tcBorders>
              <w:top w:val="single" w:color="000000" w:sz="4" w:space="0"/>
              <w:left w:val="single" w:color="000000" w:sz="4" w:space="0"/>
              <w:bottom w:val="single" w:color="000000" w:sz="4" w:space="0"/>
              <w:right w:val="single" w:color="000000" w:sz="4" w:space="0"/>
            </w:tcBorders>
            <w:vAlign w:val="center"/>
          </w:tcPr>
          <w:p w14:paraId="125EDEFA">
            <w:pPr>
              <w:widowControl/>
              <w:jc w:val="center"/>
              <w:rPr>
                <w:rFonts w:eastAsia="等线"/>
                <w:color w:val="000000"/>
                <w:sz w:val="22"/>
                <w:szCs w:val="22"/>
              </w:rPr>
            </w:pPr>
            <w:r>
              <w:rPr>
                <w:rFonts w:ascii="宋体" w:hAnsi="宋体"/>
                <w:color w:val="000000"/>
                <w:sz w:val="22"/>
                <w:szCs w:val="22"/>
                <w:lang w:bidi="en-US"/>
              </w:rPr>
              <w:t>《入网安全测评报告》</w:t>
            </w:r>
          </w:p>
        </w:tc>
      </w:tr>
      <w:tr w14:paraId="77063AC4">
        <w:tblPrEx>
          <w:tblCellMar>
            <w:top w:w="0" w:type="dxa"/>
            <w:left w:w="108" w:type="dxa"/>
            <w:bottom w:w="0" w:type="dxa"/>
            <w:right w:w="108" w:type="dxa"/>
          </w:tblCellMar>
        </w:tblPrEx>
        <w:trPr>
          <w:trHeight w:val="422" w:hRule="atLeast"/>
        </w:trPr>
        <w:tc>
          <w:tcPr>
            <w:tcW w:w="691" w:type="dxa"/>
            <w:vMerge w:val="continue"/>
            <w:tcBorders>
              <w:top w:val="nil"/>
              <w:left w:val="single" w:color="000000" w:sz="4" w:space="0"/>
              <w:bottom w:val="nil"/>
              <w:right w:val="single" w:color="000000" w:sz="4" w:space="0"/>
            </w:tcBorders>
            <w:vAlign w:val="center"/>
          </w:tcPr>
          <w:p w14:paraId="09768830">
            <w:pPr>
              <w:jc w:val="center"/>
              <w:rPr>
                <w:rFonts w:eastAsia="等线"/>
                <w:color w:val="000000"/>
                <w:sz w:val="22"/>
                <w:szCs w:val="22"/>
              </w:rPr>
            </w:pPr>
          </w:p>
        </w:tc>
        <w:tc>
          <w:tcPr>
            <w:tcW w:w="3973" w:type="dxa"/>
            <w:tcBorders>
              <w:top w:val="single" w:color="000000" w:sz="4" w:space="0"/>
              <w:left w:val="single" w:color="000000" w:sz="4" w:space="0"/>
              <w:bottom w:val="single" w:color="000000" w:sz="4" w:space="0"/>
              <w:right w:val="single" w:color="000000" w:sz="4" w:space="0"/>
            </w:tcBorders>
            <w:vAlign w:val="center"/>
          </w:tcPr>
          <w:p w14:paraId="235345F2">
            <w:pPr>
              <w:widowControl/>
              <w:jc w:val="center"/>
              <w:rPr>
                <w:rFonts w:hint="eastAsia" w:ascii="宋体" w:hAnsi="宋体"/>
                <w:color w:val="000000"/>
                <w:sz w:val="22"/>
                <w:szCs w:val="22"/>
              </w:rPr>
            </w:pPr>
            <w:r>
              <w:rPr>
                <w:rFonts w:ascii="宋体" w:hAnsi="宋体"/>
                <w:color w:val="000000"/>
                <w:sz w:val="22"/>
                <w:szCs w:val="22"/>
                <w:lang w:bidi="en-US"/>
              </w:rPr>
              <w:t>安全通报</w:t>
            </w:r>
          </w:p>
        </w:tc>
        <w:tc>
          <w:tcPr>
            <w:tcW w:w="4678" w:type="dxa"/>
            <w:tcBorders>
              <w:top w:val="single" w:color="000000" w:sz="4" w:space="0"/>
              <w:left w:val="single" w:color="000000" w:sz="4" w:space="0"/>
              <w:bottom w:val="single" w:color="000000" w:sz="4" w:space="0"/>
              <w:right w:val="single" w:color="000000" w:sz="4" w:space="0"/>
            </w:tcBorders>
            <w:vAlign w:val="center"/>
          </w:tcPr>
          <w:p w14:paraId="4CAF2AB5">
            <w:pPr>
              <w:widowControl/>
              <w:jc w:val="center"/>
              <w:rPr>
                <w:rFonts w:hint="eastAsia" w:ascii="宋体" w:hAnsi="宋体"/>
                <w:color w:val="000000"/>
                <w:sz w:val="22"/>
                <w:szCs w:val="22"/>
              </w:rPr>
            </w:pPr>
            <w:r>
              <w:rPr>
                <w:rFonts w:ascii="宋体" w:hAnsi="宋体"/>
                <w:color w:val="000000"/>
                <w:sz w:val="22"/>
                <w:szCs w:val="22"/>
                <w:lang w:bidi="en-US"/>
              </w:rPr>
              <w:t>《安全事件通报报告》</w:t>
            </w:r>
          </w:p>
        </w:tc>
      </w:tr>
      <w:tr w14:paraId="221C30F5">
        <w:tblPrEx>
          <w:tblCellMar>
            <w:top w:w="0" w:type="dxa"/>
            <w:left w:w="108" w:type="dxa"/>
            <w:bottom w:w="0" w:type="dxa"/>
            <w:right w:w="108" w:type="dxa"/>
          </w:tblCellMar>
        </w:tblPrEx>
        <w:trPr>
          <w:trHeight w:val="698" w:hRule="atLeast"/>
        </w:trPr>
        <w:tc>
          <w:tcPr>
            <w:tcW w:w="691" w:type="dxa"/>
            <w:vMerge w:val="continue"/>
            <w:tcBorders>
              <w:top w:val="nil"/>
              <w:left w:val="single" w:color="000000" w:sz="4" w:space="0"/>
              <w:bottom w:val="nil"/>
              <w:right w:val="single" w:color="000000" w:sz="4" w:space="0"/>
            </w:tcBorders>
            <w:vAlign w:val="center"/>
          </w:tcPr>
          <w:p w14:paraId="45096950">
            <w:pPr>
              <w:jc w:val="center"/>
              <w:rPr>
                <w:rFonts w:eastAsia="等线"/>
                <w:color w:val="000000"/>
                <w:sz w:val="22"/>
                <w:szCs w:val="22"/>
              </w:rPr>
            </w:pPr>
          </w:p>
        </w:tc>
        <w:tc>
          <w:tcPr>
            <w:tcW w:w="3973" w:type="dxa"/>
            <w:tcBorders>
              <w:top w:val="single" w:color="000000" w:sz="4" w:space="0"/>
              <w:left w:val="single" w:color="000000" w:sz="4" w:space="0"/>
              <w:bottom w:val="single" w:color="000000" w:sz="4" w:space="0"/>
              <w:right w:val="single" w:color="000000" w:sz="4" w:space="0"/>
            </w:tcBorders>
            <w:vAlign w:val="center"/>
          </w:tcPr>
          <w:p w14:paraId="151A0280">
            <w:pPr>
              <w:widowControl/>
              <w:jc w:val="center"/>
              <w:rPr>
                <w:rFonts w:hint="eastAsia" w:ascii="宋体" w:hAnsi="宋体"/>
                <w:color w:val="000000"/>
                <w:sz w:val="22"/>
                <w:szCs w:val="22"/>
                <w:lang w:bidi="en-US"/>
              </w:rPr>
            </w:pPr>
            <w:r>
              <w:rPr>
                <w:rFonts w:ascii="宋体" w:hAnsi="宋体"/>
                <w:color w:val="000000"/>
                <w:sz w:val="22"/>
                <w:szCs w:val="22"/>
                <w:lang w:bidi="en-US"/>
              </w:rPr>
              <w:t>等保年审配合</w:t>
            </w:r>
          </w:p>
        </w:tc>
        <w:tc>
          <w:tcPr>
            <w:tcW w:w="4678" w:type="dxa"/>
            <w:tcBorders>
              <w:top w:val="single" w:color="000000" w:sz="4" w:space="0"/>
              <w:left w:val="single" w:color="000000" w:sz="4" w:space="0"/>
              <w:bottom w:val="single" w:color="000000" w:sz="4" w:space="0"/>
              <w:right w:val="single" w:color="000000" w:sz="4" w:space="0"/>
            </w:tcBorders>
            <w:vAlign w:val="center"/>
          </w:tcPr>
          <w:p w14:paraId="21DE9336">
            <w:pPr>
              <w:widowControl/>
              <w:jc w:val="center"/>
              <w:rPr>
                <w:rFonts w:hint="eastAsia" w:ascii="宋体" w:hAnsi="宋体"/>
                <w:color w:val="000000"/>
                <w:sz w:val="22"/>
                <w:szCs w:val="22"/>
                <w:lang w:bidi="en-US"/>
              </w:rPr>
            </w:pPr>
            <w:r>
              <w:rPr>
                <w:rFonts w:ascii="宋体" w:hAnsi="宋体"/>
                <w:color w:val="000000"/>
                <w:sz w:val="22"/>
                <w:szCs w:val="22"/>
                <w:lang w:bidi="en-US"/>
              </w:rPr>
              <w:t>《等级保护测评报告》</w:t>
            </w:r>
          </w:p>
          <w:p w14:paraId="72C2469F">
            <w:pPr>
              <w:widowControl/>
              <w:jc w:val="center"/>
              <w:rPr>
                <w:rFonts w:hint="eastAsia" w:ascii="宋体" w:hAnsi="宋体"/>
                <w:color w:val="000000"/>
                <w:sz w:val="22"/>
                <w:szCs w:val="22"/>
                <w:lang w:bidi="en-US"/>
              </w:rPr>
            </w:pPr>
            <w:r>
              <w:rPr>
                <w:rFonts w:ascii="宋体" w:hAnsi="宋体"/>
                <w:color w:val="000000"/>
                <w:sz w:val="22"/>
                <w:szCs w:val="22"/>
                <w:lang w:bidi="en-US"/>
              </w:rPr>
              <w:t>《等级保护加固记录》</w:t>
            </w:r>
          </w:p>
        </w:tc>
      </w:tr>
      <w:tr w14:paraId="59B19196">
        <w:tblPrEx>
          <w:tblCellMar>
            <w:top w:w="0" w:type="dxa"/>
            <w:left w:w="108" w:type="dxa"/>
            <w:bottom w:w="0" w:type="dxa"/>
            <w:right w:w="108" w:type="dxa"/>
          </w:tblCellMar>
        </w:tblPrEx>
        <w:trPr>
          <w:trHeight w:val="444" w:hRule="atLeast"/>
        </w:trPr>
        <w:tc>
          <w:tcPr>
            <w:tcW w:w="691" w:type="dxa"/>
            <w:vMerge w:val="continue"/>
            <w:tcBorders>
              <w:top w:val="nil"/>
              <w:left w:val="single" w:color="000000" w:sz="4" w:space="0"/>
              <w:bottom w:val="nil"/>
              <w:right w:val="single" w:color="000000" w:sz="4" w:space="0"/>
            </w:tcBorders>
            <w:vAlign w:val="center"/>
          </w:tcPr>
          <w:p w14:paraId="2E8EEFC3">
            <w:pPr>
              <w:jc w:val="center"/>
              <w:rPr>
                <w:rFonts w:eastAsia="等线"/>
                <w:color w:val="000000"/>
                <w:sz w:val="22"/>
                <w:szCs w:val="22"/>
              </w:rPr>
            </w:pPr>
          </w:p>
        </w:tc>
        <w:tc>
          <w:tcPr>
            <w:tcW w:w="3973" w:type="dxa"/>
            <w:tcBorders>
              <w:top w:val="single" w:color="000000" w:sz="4" w:space="0"/>
              <w:left w:val="single" w:color="000000" w:sz="4" w:space="0"/>
              <w:bottom w:val="single" w:color="000000" w:sz="4" w:space="0"/>
              <w:right w:val="single" w:color="000000" w:sz="4" w:space="0"/>
            </w:tcBorders>
            <w:vAlign w:val="center"/>
          </w:tcPr>
          <w:p w14:paraId="3C90CDA1">
            <w:pPr>
              <w:widowControl/>
              <w:jc w:val="center"/>
              <w:rPr>
                <w:rFonts w:hint="eastAsia" w:ascii="宋体" w:hAnsi="宋体"/>
                <w:color w:val="000000"/>
                <w:sz w:val="22"/>
                <w:szCs w:val="22"/>
                <w:lang w:bidi="en-US"/>
              </w:rPr>
            </w:pPr>
            <w:r>
              <w:rPr>
                <w:rFonts w:ascii="宋体" w:hAnsi="宋体"/>
                <w:color w:val="000000"/>
                <w:sz w:val="22"/>
                <w:szCs w:val="22"/>
                <w:lang w:bidi="en-US"/>
              </w:rPr>
              <w:t>互联网敏感信息泄露排查</w:t>
            </w:r>
          </w:p>
        </w:tc>
        <w:tc>
          <w:tcPr>
            <w:tcW w:w="4678" w:type="dxa"/>
            <w:tcBorders>
              <w:top w:val="single" w:color="000000" w:sz="4" w:space="0"/>
              <w:left w:val="single" w:color="000000" w:sz="4" w:space="0"/>
              <w:bottom w:val="single" w:color="000000" w:sz="4" w:space="0"/>
              <w:right w:val="single" w:color="000000" w:sz="4" w:space="0"/>
            </w:tcBorders>
            <w:vAlign w:val="center"/>
          </w:tcPr>
          <w:p w14:paraId="1A2D5F66">
            <w:pPr>
              <w:widowControl/>
              <w:jc w:val="center"/>
              <w:rPr>
                <w:rFonts w:hint="eastAsia" w:ascii="宋体" w:hAnsi="宋体"/>
                <w:color w:val="000000"/>
                <w:sz w:val="22"/>
                <w:szCs w:val="22"/>
                <w:lang w:bidi="en-US"/>
              </w:rPr>
            </w:pPr>
            <w:r>
              <w:rPr>
                <w:rFonts w:ascii="宋体" w:hAnsi="宋体"/>
                <w:color w:val="000000"/>
                <w:sz w:val="22"/>
                <w:szCs w:val="22"/>
                <w:lang w:bidi="en-US"/>
              </w:rPr>
              <w:t>《互联网敏感信息排查报告》</w:t>
            </w:r>
          </w:p>
        </w:tc>
      </w:tr>
      <w:tr w14:paraId="1F0EC23C">
        <w:tblPrEx>
          <w:tblCellMar>
            <w:top w:w="0" w:type="dxa"/>
            <w:left w:w="108" w:type="dxa"/>
            <w:bottom w:w="0" w:type="dxa"/>
            <w:right w:w="108" w:type="dxa"/>
          </w:tblCellMar>
        </w:tblPrEx>
        <w:trPr>
          <w:trHeight w:val="140" w:hRule="atLeast"/>
        </w:trPr>
        <w:tc>
          <w:tcPr>
            <w:tcW w:w="691" w:type="dxa"/>
            <w:vMerge w:val="continue"/>
            <w:tcBorders>
              <w:top w:val="nil"/>
              <w:left w:val="single" w:color="000000" w:sz="4" w:space="0"/>
              <w:bottom w:val="nil"/>
              <w:right w:val="single" w:color="000000" w:sz="4" w:space="0"/>
            </w:tcBorders>
            <w:vAlign w:val="center"/>
          </w:tcPr>
          <w:p w14:paraId="0C2B16EA">
            <w:pPr>
              <w:jc w:val="center"/>
              <w:rPr>
                <w:rFonts w:eastAsia="等线"/>
                <w:color w:val="000000"/>
                <w:sz w:val="22"/>
                <w:szCs w:val="22"/>
              </w:rPr>
            </w:pPr>
          </w:p>
        </w:tc>
        <w:tc>
          <w:tcPr>
            <w:tcW w:w="3973" w:type="dxa"/>
            <w:tcBorders>
              <w:top w:val="single" w:color="000000" w:sz="4" w:space="0"/>
              <w:left w:val="single" w:color="000000" w:sz="4" w:space="0"/>
              <w:bottom w:val="single" w:color="000000" w:sz="4" w:space="0"/>
              <w:right w:val="single" w:color="000000" w:sz="4" w:space="0"/>
            </w:tcBorders>
            <w:vAlign w:val="center"/>
          </w:tcPr>
          <w:p w14:paraId="6C1AC64D">
            <w:pPr>
              <w:widowControl/>
              <w:jc w:val="center"/>
              <w:rPr>
                <w:rFonts w:hint="eastAsia" w:ascii="宋体" w:hAnsi="宋体"/>
                <w:color w:val="000000"/>
                <w:sz w:val="22"/>
                <w:szCs w:val="22"/>
                <w:lang w:bidi="en-US"/>
              </w:rPr>
            </w:pPr>
            <w:r>
              <w:rPr>
                <w:rFonts w:ascii="宋体" w:hAnsi="宋体"/>
                <w:color w:val="000000"/>
                <w:sz w:val="22"/>
                <w:szCs w:val="22"/>
                <w:lang w:bidi="en-US"/>
              </w:rPr>
              <w:t>技术体系有效性验证</w:t>
            </w:r>
          </w:p>
        </w:tc>
        <w:tc>
          <w:tcPr>
            <w:tcW w:w="4678" w:type="dxa"/>
            <w:tcBorders>
              <w:top w:val="single" w:color="000000" w:sz="4" w:space="0"/>
              <w:left w:val="single" w:color="000000" w:sz="4" w:space="0"/>
              <w:bottom w:val="single" w:color="000000" w:sz="4" w:space="0"/>
              <w:right w:val="single" w:color="000000" w:sz="4" w:space="0"/>
            </w:tcBorders>
            <w:vAlign w:val="center"/>
          </w:tcPr>
          <w:p w14:paraId="5A367A1F">
            <w:pPr>
              <w:widowControl/>
              <w:jc w:val="center"/>
              <w:rPr>
                <w:rFonts w:hint="eastAsia" w:ascii="宋体" w:hAnsi="宋体"/>
                <w:color w:val="000000"/>
                <w:sz w:val="22"/>
                <w:szCs w:val="22"/>
                <w:lang w:bidi="en-US"/>
              </w:rPr>
            </w:pPr>
            <w:r>
              <w:rPr>
                <w:rFonts w:ascii="宋体" w:hAnsi="宋体"/>
                <w:color w:val="000000"/>
                <w:sz w:val="22"/>
                <w:szCs w:val="22"/>
                <w:lang w:bidi="en-US"/>
              </w:rPr>
              <w:t>《安全设备监控规则要求》</w:t>
            </w:r>
          </w:p>
          <w:p w14:paraId="76F7E4BB">
            <w:pPr>
              <w:widowControl/>
              <w:jc w:val="center"/>
              <w:rPr>
                <w:rFonts w:hint="eastAsia" w:ascii="宋体" w:hAnsi="宋体"/>
                <w:color w:val="000000"/>
                <w:sz w:val="22"/>
                <w:szCs w:val="22"/>
                <w:lang w:bidi="en-US"/>
              </w:rPr>
            </w:pPr>
            <w:r>
              <w:rPr>
                <w:rFonts w:ascii="宋体" w:hAnsi="宋体"/>
                <w:color w:val="000000"/>
                <w:sz w:val="22"/>
                <w:szCs w:val="22"/>
                <w:lang w:bidi="en-US"/>
              </w:rPr>
              <w:t>《安全策略有效性验证报告》</w:t>
            </w:r>
          </w:p>
        </w:tc>
      </w:tr>
      <w:tr w14:paraId="75AA3C40">
        <w:tblPrEx>
          <w:tblCellMar>
            <w:top w:w="0" w:type="dxa"/>
            <w:left w:w="108" w:type="dxa"/>
            <w:bottom w:w="0" w:type="dxa"/>
            <w:right w:w="108" w:type="dxa"/>
          </w:tblCellMar>
        </w:tblPrEx>
        <w:trPr>
          <w:trHeight w:val="140" w:hRule="atLeast"/>
        </w:trPr>
        <w:tc>
          <w:tcPr>
            <w:tcW w:w="691" w:type="dxa"/>
            <w:vMerge w:val="continue"/>
            <w:tcBorders>
              <w:top w:val="nil"/>
              <w:left w:val="single" w:color="000000" w:sz="4" w:space="0"/>
              <w:bottom w:val="nil"/>
              <w:right w:val="single" w:color="000000" w:sz="4" w:space="0"/>
            </w:tcBorders>
            <w:vAlign w:val="center"/>
          </w:tcPr>
          <w:p w14:paraId="143E4BA5">
            <w:pPr>
              <w:jc w:val="center"/>
              <w:rPr>
                <w:rFonts w:eastAsia="等线"/>
                <w:color w:val="000000"/>
                <w:sz w:val="22"/>
                <w:szCs w:val="22"/>
              </w:rPr>
            </w:pPr>
          </w:p>
        </w:tc>
        <w:tc>
          <w:tcPr>
            <w:tcW w:w="3973" w:type="dxa"/>
            <w:tcBorders>
              <w:top w:val="single" w:color="000000" w:sz="4" w:space="0"/>
              <w:left w:val="single" w:color="000000" w:sz="4" w:space="0"/>
              <w:bottom w:val="single" w:color="000000" w:sz="4" w:space="0"/>
              <w:right w:val="single" w:color="000000" w:sz="4" w:space="0"/>
            </w:tcBorders>
            <w:vAlign w:val="center"/>
          </w:tcPr>
          <w:p w14:paraId="34E8B63C">
            <w:pPr>
              <w:widowControl/>
              <w:jc w:val="center"/>
              <w:rPr>
                <w:rFonts w:hint="eastAsia" w:ascii="宋体" w:hAnsi="宋体"/>
                <w:color w:val="000000"/>
                <w:sz w:val="22"/>
                <w:szCs w:val="22"/>
                <w:lang w:bidi="en-US"/>
              </w:rPr>
            </w:pPr>
            <w:r>
              <w:rPr>
                <w:rFonts w:hint="eastAsia" w:ascii="宋体" w:hAnsi="宋体"/>
                <w:color w:val="000000"/>
                <w:sz w:val="22"/>
                <w:szCs w:val="22"/>
                <w:lang w:bidi="en-US"/>
              </w:rPr>
              <w:t>自适应</w:t>
            </w:r>
            <w:r>
              <w:rPr>
                <w:rFonts w:ascii="宋体" w:hAnsi="宋体"/>
                <w:color w:val="000000"/>
                <w:sz w:val="22"/>
                <w:szCs w:val="22"/>
                <w:lang w:bidi="en-US"/>
              </w:rPr>
              <w:t>技术体系优化</w:t>
            </w:r>
          </w:p>
        </w:tc>
        <w:tc>
          <w:tcPr>
            <w:tcW w:w="4678" w:type="dxa"/>
            <w:tcBorders>
              <w:top w:val="single" w:color="000000" w:sz="4" w:space="0"/>
              <w:left w:val="single" w:color="000000" w:sz="4" w:space="0"/>
              <w:bottom w:val="single" w:color="000000" w:sz="4" w:space="0"/>
              <w:right w:val="single" w:color="000000" w:sz="4" w:space="0"/>
            </w:tcBorders>
            <w:vAlign w:val="center"/>
          </w:tcPr>
          <w:p w14:paraId="281C81CA">
            <w:pPr>
              <w:widowControl/>
              <w:jc w:val="center"/>
              <w:rPr>
                <w:rFonts w:hint="eastAsia" w:ascii="宋体" w:hAnsi="宋体"/>
                <w:color w:val="000000"/>
                <w:sz w:val="22"/>
                <w:szCs w:val="22"/>
                <w:lang w:bidi="en-US"/>
              </w:rPr>
            </w:pPr>
            <w:r>
              <w:rPr>
                <w:rFonts w:ascii="宋体" w:hAnsi="宋体"/>
                <w:color w:val="000000"/>
                <w:sz w:val="22"/>
                <w:szCs w:val="22"/>
                <w:lang w:bidi="en-US"/>
              </w:rPr>
              <w:t>《安全运营自动化体系设计方案》</w:t>
            </w:r>
          </w:p>
          <w:p w14:paraId="5EA3E59A">
            <w:pPr>
              <w:widowControl/>
              <w:jc w:val="center"/>
              <w:rPr>
                <w:rFonts w:hint="eastAsia" w:ascii="宋体" w:hAnsi="宋体"/>
                <w:color w:val="000000"/>
                <w:sz w:val="22"/>
                <w:szCs w:val="22"/>
                <w:lang w:bidi="en-US"/>
              </w:rPr>
            </w:pPr>
            <w:r>
              <w:rPr>
                <w:rFonts w:ascii="宋体" w:hAnsi="宋体"/>
                <w:color w:val="000000"/>
                <w:sz w:val="22"/>
                <w:szCs w:val="22"/>
                <w:lang w:bidi="en-US"/>
              </w:rPr>
              <w:t>《安全运营全场景自动化剧本库》</w:t>
            </w:r>
          </w:p>
          <w:p w14:paraId="50AC1B90">
            <w:pPr>
              <w:widowControl/>
              <w:jc w:val="center"/>
              <w:rPr>
                <w:rFonts w:hint="eastAsia" w:ascii="宋体" w:hAnsi="宋体"/>
                <w:color w:val="000000"/>
                <w:sz w:val="22"/>
                <w:szCs w:val="22"/>
                <w:lang w:bidi="en-US"/>
              </w:rPr>
            </w:pPr>
            <w:r>
              <w:rPr>
                <w:rFonts w:ascii="宋体" w:hAnsi="宋体"/>
                <w:color w:val="000000"/>
                <w:sz w:val="22"/>
                <w:szCs w:val="22"/>
                <w:lang w:bidi="en-US"/>
              </w:rPr>
              <w:t>《自动化封禁规则集》</w:t>
            </w:r>
          </w:p>
          <w:p w14:paraId="11ECDF4C">
            <w:pPr>
              <w:widowControl/>
              <w:jc w:val="center"/>
              <w:rPr>
                <w:rFonts w:hint="eastAsia" w:ascii="宋体" w:hAnsi="宋体"/>
                <w:color w:val="000000"/>
                <w:sz w:val="22"/>
                <w:szCs w:val="22"/>
                <w:lang w:bidi="en-US"/>
              </w:rPr>
            </w:pPr>
            <w:r>
              <w:rPr>
                <w:rFonts w:hint="eastAsia" w:ascii="宋体" w:hAnsi="宋体"/>
                <w:color w:val="000000"/>
                <w:sz w:val="22"/>
                <w:szCs w:val="22"/>
                <w:lang w:bidi="en-US"/>
              </w:rPr>
              <w:t>智能安全运营平台移动端 APP</w:t>
            </w:r>
          </w:p>
        </w:tc>
      </w:tr>
      <w:tr w14:paraId="1C4DA7E5">
        <w:tblPrEx>
          <w:tblCellMar>
            <w:top w:w="0" w:type="dxa"/>
            <w:left w:w="108" w:type="dxa"/>
            <w:bottom w:w="0" w:type="dxa"/>
            <w:right w:w="108" w:type="dxa"/>
          </w:tblCellMar>
        </w:tblPrEx>
        <w:trPr>
          <w:trHeight w:val="140" w:hRule="atLeast"/>
        </w:trPr>
        <w:tc>
          <w:tcPr>
            <w:tcW w:w="691" w:type="dxa"/>
            <w:vMerge w:val="continue"/>
            <w:tcBorders>
              <w:top w:val="nil"/>
              <w:left w:val="single" w:color="000000" w:sz="4" w:space="0"/>
              <w:bottom w:val="single" w:color="000000" w:sz="4" w:space="0"/>
              <w:right w:val="single" w:color="000000" w:sz="4" w:space="0"/>
            </w:tcBorders>
            <w:vAlign w:val="center"/>
          </w:tcPr>
          <w:p w14:paraId="1ED65465">
            <w:pPr>
              <w:jc w:val="center"/>
              <w:rPr>
                <w:rFonts w:eastAsia="等线"/>
                <w:color w:val="000000"/>
                <w:sz w:val="22"/>
                <w:szCs w:val="22"/>
              </w:rPr>
            </w:pPr>
          </w:p>
        </w:tc>
        <w:tc>
          <w:tcPr>
            <w:tcW w:w="3973" w:type="dxa"/>
            <w:tcBorders>
              <w:top w:val="single" w:color="000000" w:sz="4" w:space="0"/>
              <w:left w:val="single" w:color="000000" w:sz="4" w:space="0"/>
              <w:bottom w:val="single" w:color="000000" w:sz="4" w:space="0"/>
              <w:right w:val="single" w:color="000000" w:sz="4" w:space="0"/>
            </w:tcBorders>
            <w:vAlign w:val="center"/>
          </w:tcPr>
          <w:p w14:paraId="1F7064F6">
            <w:pPr>
              <w:widowControl/>
              <w:jc w:val="center"/>
              <w:rPr>
                <w:rFonts w:hint="eastAsia" w:ascii="宋体" w:hAnsi="宋体"/>
                <w:color w:val="000000"/>
                <w:sz w:val="22"/>
                <w:szCs w:val="22"/>
                <w:lang w:bidi="en-US"/>
              </w:rPr>
            </w:pPr>
            <w:r>
              <w:rPr>
                <w:rFonts w:ascii="宋体" w:hAnsi="宋体"/>
                <w:color w:val="000000"/>
                <w:sz w:val="22"/>
                <w:szCs w:val="22"/>
                <w:lang w:bidi="en-US"/>
              </w:rPr>
              <w:t>重要安全设备高可用故障恢复演练</w:t>
            </w:r>
          </w:p>
        </w:tc>
        <w:tc>
          <w:tcPr>
            <w:tcW w:w="4678" w:type="dxa"/>
            <w:tcBorders>
              <w:top w:val="single" w:color="000000" w:sz="4" w:space="0"/>
              <w:left w:val="single" w:color="000000" w:sz="4" w:space="0"/>
              <w:bottom w:val="single" w:color="000000" w:sz="4" w:space="0"/>
              <w:right w:val="single" w:color="000000" w:sz="4" w:space="0"/>
            </w:tcBorders>
            <w:vAlign w:val="center"/>
          </w:tcPr>
          <w:p w14:paraId="06DF6822">
            <w:pPr>
              <w:widowControl/>
              <w:jc w:val="center"/>
              <w:rPr>
                <w:rFonts w:hint="eastAsia" w:ascii="宋体" w:hAnsi="宋体"/>
                <w:color w:val="000000"/>
                <w:sz w:val="22"/>
                <w:szCs w:val="22"/>
                <w:lang w:bidi="en-US"/>
              </w:rPr>
            </w:pPr>
            <w:r>
              <w:rPr>
                <w:rFonts w:ascii="宋体" w:hAnsi="宋体"/>
                <w:color w:val="000000"/>
                <w:sz w:val="22"/>
                <w:szCs w:val="22"/>
                <w:lang w:bidi="en-US"/>
              </w:rPr>
              <w:t>《重要安全设备高可用故障恢复演练报告》</w:t>
            </w:r>
          </w:p>
          <w:p w14:paraId="35DDE2AC">
            <w:pPr>
              <w:widowControl/>
              <w:jc w:val="center"/>
              <w:rPr>
                <w:rFonts w:hint="eastAsia" w:ascii="宋体" w:hAnsi="宋体"/>
                <w:color w:val="000000"/>
                <w:sz w:val="22"/>
                <w:szCs w:val="22"/>
                <w:lang w:bidi="en-US"/>
              </w:rPr>
            </w:pPr>
            <w:r>
              <w:rPr>
                <w:rFonts w:ascii="宋体" w:hAnsi="宋体"/>
                <w:color w:val="000000"/>
                <w:sz w:val="22"/>
                <w:szCs w:val="22"/>
                <w:lang w:bidi="en-US"/>
              </w:rPr>
              <w:t>《重要安全设备高可用故障恢复演练方案》</w:t>
            </w:r>
          </w:p>
        </w:tc>
      </w:tr>
      <w:tr w14:paraId="5F11DCAF">
        <w:tblPrEx>
          <w:tblCellMar>
            <w:top w:w="0" w:type="dxa"/>
            <w:left w:w="108" w:type="dxa"/>
            <w:bottom w:w="0" w:type="dxa"/>
            <w:right w:w="108" w:type="dxa"/>
          </w:tblCellMar>
        </w:tblPrEx>
        <w:trPr>
          <w:trHeight w:val="482" w:hRule="atLeast"/>
        </w:trPr>
        <w:tc>
          <w:tcPr>
            <w:tcW w:w="691" w:type="dxa"/>
            <w:vMerge w:val="restart"/>
            <w:tcBorders>
              <w:top w:val="single" w:color="000000" w:sz="4" w:space="0"/>
              <w:left w:val="single" w:color="000000" w:sz="4" w:space="0"/>
              <w:bottom w:val="single" w:color="000000" w:sz="4" w:space="0"/>
              <w:right w:val="single" w:color="000000" w:sz="4" w:space="0"/>
            </w:tcBorders>
            <w:vAlign w:val="center"/>
          </w:tcPr>
          <w:p w14:paraId="6A2EB3A3">
            <w:pPr>
              <w:widowControl/>
              <w:jc w:val="center"/>
              <w:rPr>
                <w:rFonts w:hint="eastAsia" w:ascii="宋体" w:hAnsi="宋体"/>
                <w:color w:val="000000"/>
                <w:sz w:val="22"/>
                <w:szCs w:val="22"/>
              </w:rPr>
            </w:pPr>
            <w:r>
              <w:rPr>
                <w:rFonts w:ascii="宋体" w:hAnsi="宋体"/>
                <w:color w:val="000000"/>
                <w:sz w:val="22"/>
                <w:szCs w:val="22"/>
                <w:lang w:bidi="en-US"/>
              </w:rPr>
              <w:t>安全应急保障</w:t>
            </w:r>
          </w:p>
        </w:tc>
        <w:tc>
          <w:tcPr>
            <w:tcW w:w="3973" w:type="dxa"/>
            <w:tcBorders>
              <w:top w:val="single" w:color="000000" w:sz="4" w:space="0"/>
              <w:left w:val="single" w:color="000000" w:sz="4" w:space="0"/>
              <w:bottom w:val="single" w:color="000000" w:sz="4" w:space="0"/>
              <w:right w:val="single" w:color="000000" w:sz="4" w:space="0"/>
            </w:tcBorders>
            <w:vAlign w:val="center"/>
          </w:tcPr>
          <w:p w14:paraId="1CAE5DF1">
            <w:pPr>
              <w:widowControl/>
              <w:jc w:val="center"/>
              <w:rPr>
                <w:rFonts w:hint="eastAsia" w:ascii="宋体" w:hAnsi="宋体"/>
                <w:color w:val="000000"/>
                <w:sz w:val="22"/>
                <w:szCs w:val="22"/>
              </w:rPr>
            </w:pPr>
            <w:r>
              <w:rPr>
                <w:rFonts w:ascii="宋体" w:hAnsi="宋体"/>
                <w:color w:val="000000"/>
                <w:sz w:val="22"/>
                <w:szCs w:val="22"/>
                <w:lang w:bidi="en-US"/>
              </w:rPr>
              <w:t>完善应急预案</w:t>
            </w:r>
          </w:p>
        </w:tc>
        <w:tc>
          <w:tcPr>
            <w:tcW w:w="4678" w:type="dxa"/>
            <w:tcBorders>
              <w:top w:val="single" w:color="000000" w:sz="4" w:space="0"/>
              <w:left w:val="single" w:color="000000" w:sz="4" w:space="0"/>
              <w:bottom w:val="single" w:color="000000" w:sz="4" w:space="0"/>
              <w:right w:val="single" w:color="000000" w:sz="4" w:space="0"/>
            </w:tcBorders>
            <w:vAlign w:val="center"/>
          </w:tcPr>
          <w:p w14:paraId="6856A557">
            <w:pPr>
              <w:widowControl/>
              <w:jc w:val="center"/>
              <w:rPr>
                <w:rFonts w:hint="eastAsia" w:ascii="宋体" w:hAnsi="宋体"/>
                <w:color w:val="000000"/>
                <w:sz w:val="22"/>
                <w:szCs w:val="22"/>
              </w:rPr>
            </w:pPr>
            <w:r>
              <w:rPr>
                <w:rFonts w:ascii="宋体" w:hAnsi="宋体"/>
                <w:color w:val="000000"/>
                <w:sz w:val="22"/>
                <w:szCs w:val="22"/>
                <w:lang w:bidi="en-US"/>
              </w:rPr>
              <w:t>《应急预案》</w:t>
            </w:r>
          </w:p>
        </w:tc>
      </w:tr>
      <w:tr w14:paraId="3AB9285C">
        <w:tblPrEx>
          <w:tblCellMar>
            <w:top w:w="0" w:type="dxa"/>
            <w:left w:w="108" w:type="dxa"/>
            <w:bottom w:w="0" w:type="dxa"/>
            <w:right w:w="108" w:type="dxa"/>
          </w:tblCellMar>
        </w:tblPrEx>
        <w:trPr>
          <w:trHeight w:val="404" w:hRule="atLeast"/>
        </w:trPr>
        <w:tc>
          <w:tcPr>
            <w:tcW w:w="691" w:type="dxa"/>
            <w:vMerge w:val="continue"/>
            <w:tcBorders>
              <w:top w:val="single" w:color="000000" w:sz="4" w:space="0"/>
              <w:left w:val="single" w:color="000000" w:sz="4" w:space="0"/>
              <w:bottom w:val="single" w:color="000000" w:sz="4" w:space="0"/>
              <w:right w:val="single" w:color="000000" w:sz="4" w:space="0"/>
            </w:tcBorders>
            <w:vAlign w:val="center"/>
          </w:tcPr>
          <w:p w14:paraId="4B4C1CDC">
            <w:pPr>
              <w:jc w:val="center"/>
              <w:rPr>
                <w:rFonts w:hint="eastAsia" w:ascii="宋体" w:hAnsi="宋体"/>
                <w:color w:val="000000"/>
                <w:sz w:val="22"/>
                <w:szCs w:val="22"/>
              </w:rPr>
            </w:pPr>
          </w:p>
        </w:tc>
        <w:tc>
          <w:tcPr>
            <w:tcW w:w="3973" w:type="dxa"/>
            <w:tcBorders>
              <w:top w:val="single" w:color="000000" w:sz="4" w:space="0"/>
              <w:left w:val="single" w:color="000000" w:sz="4" w:space="0"/>
              <w:bottom w:val="single" w:color="000000" w:sz="4" w:space="0"/>
              <w:right w:val="single" w:color="000000" w:sz="4" w:space="0"/>
            </w:tcBorders>
            <w:vAlign w:val="center"/>
          </w:tcPr>
          <w:p w14:paraId="41FC045B">
            <w:pPr>
              <w:widowControl/>
              <w:jc w:val="center"/>
              <w:rPr>
                <w:rFonts w:hint="eastAsia" w:ascii="宋体" w:hAnsi="宋体"/>
                <w:color w:val="000000"/>
                <w:sz w:val="22"/>
                <w:szCs w:val="22"/>
              </w:rPr>
            </w:pPr>
            <w:r>
              <w:rPr>
                <w:rFonts w:hint="eastAsia"/>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080" cy="508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5080" cy="5080"/>
                          </a:xfrm>
                          <a:prstGeom prst="rect">
                            <a:avLst/>
                          </a:prstGeom>
                          <a:noFill/>
                          <a:ln>
                            <a:noFill/>
                          </a:ln>
                        </pic:spPr>
                      </pic:pic>
                    </a:graphicData>
                  </a:graphic>
                </wp:anchor>
              </w:drawing>
            </w:r>
            <w:r>
              <w:rPr>
                <w:rFonts w:ascii="宋体" w:hAnsi="宋体"/>
                <w:color w:val="000000"/>
                <w:sz w:val="22"/>
                <w:szCs w:val="22"/>
                <w:lang w:bidi="en-US"/>
              </w:rPr>
              <w:t>应急演练服务</w:t>
            </w:r>
          </w:p>
        </w:tc>
        <w:tc>
          <w:tcPr>
            <w:tcW w:w="4678" w:type="dxa"/>
            <w:tcBorders>
              <w:top w:val="single" w:color="000000" w:sz="4" w:space="0"/>
              <w:left w:val="single" w:color="000000" w:sz="4" w:space="0"/>
              <w:bottom w:val="single" w:color="000000" w:sz="4" w:space="0"/>
              <w:right w:val="single" w:color="000000" w:sz="4" w:space="0"/>
            </w:tcBorders>
            <w:vAlign w:val="center"/>
          </w:tcPr>
          <w:p w14:paraId="7C3FE821">
            <w:pPr>
              <w:widowControl/>
              <w:jc w:val="center"/>
              <w:rPr>
                <w:rFonts w:hint="eastAsia" w:ascii="宋体" w:hAnsi="宋体"/>
                <w:color w:val="000000"/>
                <w:sz w:val="22"/>
                <w:szCs w:val="22"/>
              </w:rPr>
            </w:pPr>
            <w:r>
              <w:rPr>
                <w:rFonts w:ascii="宋体" w:hAnsi="宋体"/>
                <w:color w:val="000000"/>
                <w:sz w:val="22"/>
                <w:szCs w:val="22"/>
                <w:lang w:bidi="en-US"/>
              </w:rPr>
              <w:t>《应急演练报告》</w:t>
            </w:r>
          </w:p>
        </w:tc>
      </w:tr>
      <w:tr w14:paraId="685A9E15">
        <w:tblPrEx>
          <w:tblCellMar>
            <w:top w:w="0" w:type="dxa"/>
            <w:left w:w="108" w:type="dxa"/>
            <w:bottom w:w="0" w:type="dxa"/>
            <w:right w:w="108" w:type="dxa"/>
          </w:tblCellMar>
        </w:tblPrEx>
        <w:trPr>
          <w:trHeight w:val="424" w:hRule="atLeast"/>
        </w:trPr>
        <w:tc>
          <w:tcPr>
            <w:tcW w:w="691" w:type="dxa"/>
            <w:vMerge w:val="continue"/>
            <w:tcBorders>
              <w:top w:val="single" w:color="000000" w:sz="4" w:space="0"/>
              <w:left w:val="single" w:color="000000" w:sz="4" w:space="0"/>
              <w:bottom w:val="single" w:color="000000" w:sz="4" w:space="0"/>
              <w:right w:val="single" w:color="000000" w:sz="4" w:space="0"/>
            </w:tcBorders>
            <w:vAlign w:val="center"/>
          </w:tcPr>
          <w:p w14:paraId="6C4E1A53">
            <w:pPr>
              <w:jc w:val="center"/>
              <w:rPr>
                <w:rFonts w:hint="eastAsia" w:ascii="宋体" w:hAnsi="宋体"/>
                <w:color w:val="000000"/>
                <w:sz w:val="22"/>
                <w:szCs w:val="22"/>
              </w:rPr>
            </w:pPr>
          </w:p>
        </w:tc>
        <w:tc>
          <w:tcPr>
            <w:tcW w:w="3973" w:type="dxa"/>
            <w:tcBorders>
              <w:top w:val="single" w:color="000000" w:sz="4" w:space="0"/>
              <w:left w:val="single" w:color="000000" w:sz="4" w:space="0"/>
              <w:bottom w:val="single" w:color="000000" w:sz="4" w:space="0"/>
              <w:right w:val="single" w:color="000000" w:sz="4" w:space="0"/>
            </w:tcBorders>
            <w:vAlign w:val="center"/>
          </w:tcPr>
          <w:p w14:paraId="0B54D83E">
            <w:pPr>
              <w:widowControl/>
              <w:jc w:val="center"/>
              <w:rPr>
                <w:rFonts w:hint="eastAsia" w:ascii="宋体" w:hAnsi="宋体"/>
                <w:color w:val="000000"/>
                <w:sz w:val="22"/>
                <w:szCs w:val="22"/>
              </w:rPr>
            </w:pPr>
            <w:r>
              <w:rPr>
                <w:rFonts w:ascii="宋体" w:hAnsi="宋体"/>
                <w:color w:val="000000"/>
                <w:sz w:val="22"/>
                <w:szCs w:val="22"/>
                <w:lang w:bidi="en-US"/>
              </w:rPr>
              <w:t>应急响应服务</w:t>
            </w:r>
          </w:p>
        </w:tc>
        <w:tc>
          <w:tcPr>
            <w:tcW w:w="4678" w:type="dxa"/>
            <w:tcBorders>
              <w:top w:val="single" w:color="000000" w:sz="4" w:space="0"/>
              <w:left w:val="single" w:color="000000" w:sz="4" w:space="0"/>
              <w:bottom w:val="single" w:color="000000" w:sz="4" w:space="0"/>
              <w:right w:val="single" w:color="000000" w:sz="4" w:space="0"/>
            </w:tcBorders>
            <w:vAlign w:val="center"/>
          </w:tcPr>
          <w:p w14:paraId="50F88030">
            <w:pPr>
              <w:widowControl/>
              <w:jc w:val="center"/>
              <w:rPr>
                <w:rFonts w:hint="eastAsia" w:ascii="宋体" w:hAnsi="宋体"/>
                <w:color w:val="000000"/>
                <w:sz w:val="22"/>
                <w:szCs w:val="22"/>
              </w:rPr>
            </w:pPr>
            <w:r>
              <w:rPr>
                <w:rFonts w:ascii="宋体" w:hAnsi="宋体"/>
                <w:color w:val="000000"/>
                <w:sz w:val="22"/>
                <w:szCs w:val="22"/>
                <w:lang w:bidi="en-US"/>
              </w:rPr>
              <w:t>《应急响应处置报告》</w:t>
            </w:r>
          </w:p>
        </w:tc>
      </w:tr>
      <w:tr w14:paraId="745CBE47">
        <w:tblPrEx>
          <w:tblCellMar>
            <w:top w:w="0" w:type="dxa"/>
            <w:left w:w="108" w:type="dxa"/>
            <w:bottom w:w="0" w:type="dxa"/>
            <w:right w:w="108" w:type="dxa"/>
          </w:tblCellMar>
        </w:tblPrEx>
        <w:trPr>
          <w:trHeight w:val="827" w:hRule="atLeast"/>
        </w:trPr>
        <w:tc>
          <w:tcPr>
            <w:tcW w:w="691" w:type="dxa"/>
            <w:vMerge w:val="restart"/>
            <w:tcBorders>
              <w:top w:val="single" w:color="000000" w:sz="4" w:space="0"/>
              <w:left w:val="single" w:color="000000" w:sz="4" w:space="0"/>
              <w:bottom w:val="single" w:color="000000" w:sz="4" w:space="0"/>
              <w:right w:val="single" w:color="000000" w:sz="4" w:space="0"/>
            </w:tcBorders>
            <w:vAlign w:val="center"/>
          </w:tcPr>
          <w:p w14:paraId="776F7400">
            <w:pPr>
              <w:widowControl/>
              <w:jc w:val="center"/>
              <w:rPr>
                <w:rFonts w:eastAsia="等线"/>
                <w:color w:val="000000"/>
                <w:sz w:val="22"/>
                <w:szCs w:val="22"/>
              </w:rPr>
            </w:pPr>
            <w:r>
              <w:rPr>
                <w:rFonts w:ascii="宋体" w:hAnsi="宋体"/>
                <w:color w:val="000000"/>
                <w:sz w:val="22"/>
                <w:szCs w:val="22"/>
                <w:lang w:bidi="en-US"/>
              </w:rPr>
              <w:t>安全专项保障</w:t>
            </w:r>
          </w:p>
        </w:tc>
        <w:tc>
          <w:tcPr>
            <w:tcW w:w="3973" w:type="dxa"/>
            <w:tcBorders>
              <w:top w:val="single" w:color="000000" w:sz="4" w:space="0"/>
              <w:left w:val="single" w:color="000000" w:sz="4" w:space="0"/>
              <w:bottom w:val="single" w:color="000000" w:sz="4" w:space="0"/>
              <w:right w:val="single" w:color="000000" w:sz="4" w:space="0"/>
            </w:tcBorders>
            <w:vAlign w:val="center"/>
          </w:tcPr>
          <w:p w14:paraId="09C2252E">
            <w:pPr>
              <w:widowControl/>
              <w:jc w:val="center"/>
              <w:rPr>
                <w:rFonts w:hint="eastAsia" w:ascii="宋体" w:hAnsi="宋体"/>
                <w:color w:val="000000"/>
                <w:sz w:val="22"/>
                <w:szCs w:val="22"/>
              </w:rPr>
            </w:pPr>
            <w:r>
              <w:rPr>
                <w:rFonts w:ascii="宋体" w:hAnsi="宋体"/>
                <w:color w:val="000000"/>
                <w:sz w:val="22"/>
                <w:szCs w:val="22"/>
                <w:lang w:bidi="en-US"/>
              </w:rPr>
              <w:t>重保活动保障</w:t>
            </w:r>
          </w:p>
        </w:tc>
        <w:tc>
          <w:tcPr>
            <w:tcW w:w="4678" w:type="dxa"/>
            <w:tcBorders>
              <w:top w:val="single" w:color="000000" w:sz="4" w:space="0"/>
              <w:left w:val="single" w:color="000000" w:sz="4" w:space="0"/>
              <w:bottom w:val="single" w:color="000000" w:sz="4" w:space="0"/>
              <w:right w:val="single" w:color="000000" w:sz="4" w:space="0"/>
            </w:tcBorders>
            <w:vAlign w:val="center"/>
          </w:tcPr>
          <w:p w14:paraId="5A032AA3">
            <w:pPr>
              <w:widowControl/>
              <w:jc w:val="center"/>
              <w:rPr>
                <w:rFonts w:hint="eastAsia" w:ascii="宋体" w:hAnsi="宋体"/>
                <w:color w:val="000000"/>
                <w:sz w:val="22"/>
                <w:szCs w:val="22"/>
                <w:lang w:bidi="en-US"/>
              </w:rPr>
            </w:pPr>
            <w:r>
              <w:rPr>
                <w:rFonts w:ascii="宋体" w:hAnsi="宋体"/>
                <w:color w:val="000000"/>
                <w:sz w:val="22"/>
                <w:szCs w:val="22"/>
                <w:lang w:bidi="en-US"/>
              </w:rPr>
              <w:t>《重要时期安全保障方案》</w:t>
            </w:r>
          </w:p>
          <w:p w14:paraId="78190EE1">
            <w:pPr>
              <w:widowControl/>
              <w:jc w:val="center"/>
              <w:rPr>
                <w:rFonts w:hint="eastAsia" w:ascii="宋体" w:hAnsi="宋体"/>
                <w:color w:val="000000"/>
                <w:sz w:val="22"/>
                <w:szCs w:val="22"/>
              </w:rPr>
            </w:pPr>
            <w:r>
              <w:rPr>
                <w:rFonts w:ascii="宋体" w:hAnsi="宋体"/>
                <w:color w:val="000000"/>
                <w:sz w:val="22"/>
                <w:szCs w:val="22"/>
                <w:lang w:bidi="en-US"/>
              </w:rPr>
              <w:t>《重保总结报告》</w:t>
            </w:r>
          </w:p>
        </w:tc>
      </w:tr>
      <w:tr w14:paraId="51239DA1">
        <w:tblPrEx>
          <w:tblCellMar>
            <w:top w:w="0" w:type="dxa"/>
            <w:left w:w="108" w:type="dxa"/>
            <w:bottom w:w="0" w:type="dxa"/>
            <w:right w:w="108" w:type="dxa"/>
          </w:tblCellMar>
        </w:tblPrEx>
        <w:trPr>
          <w:trHeight w:val="427" w:hRule="atLeast"/>
        </w:trPr>
        <w:tc>
          <w:tcPr>
            <w:tcW w:w="691" w:type="dxa"/>
            <w:vMerge w:val="continue"/>
            <w:tcBorders>
              <w:top w:val="single" w:color="000000" w:sz="4" w:space="0"/>
              <w:left w:val="single" w:color="000000" w:sz="4" w:space="0"/>
              <w:bottom w:val="single" w:color="000000" w:sz="4" w:space="0"/>
              <w:right w:val="single" w:color="000000" w:sz="4" w:space="0"/>
            </w:tcBorders>
            <w:vAlign w:val="center"/>
          </w:tcPr>
          <w:p w14:paraId="24FCA367">
            <w:pPr>
              <w:jc w:val="center"/>
              <w:rPr>
                <w:rFonts w:eastAsia="等线"/>
                <w:color w:val="000000"/>
                <w:sz w:val="22"/>
                <w:szCs w:val="22"/>
              </w:rPr>
            </w:pPr>
          </w:p>
        </w:tc>
        <w:tc>
          <w:tcPr>
            <w:tcW w:w="3973" w:type="dxa"/>
            <w:tcBorders>
              <w:top w:val="single" w:color="000000" w:sz="4" w:space="0"/>
              <w:left w:val="single" w:color="000000" w:sz="4" w:space="0"/>
              <w:bottom w:val="single" w:color="000000" w:sz="4" w:space="0"/>
              <w:right w:val="single" w:color="000000" w:sz="4" w:space="0"/>
            </w:tcBorders>
            <w:vAlign w:val="center"/>
          </w:tcPr>
          <w:p w14:paraId="0B1578C5">
            <w:pPr>
              <w:widowControl/>
              <w:jc w:val="center"/>
              <w:rPr>
                <w:rFonts w:hint="eastAsia" w:ascii="宋体" w:hAnsi="宋体"/>
                <w:color w:val="000000"/>
                <w:sz w:val="22"/>
                <w:szCs w:val="22"/>
              </w:rPr>
            </w:pPr>
            <w:r>
              <w:rPr>
                <w:rFonts w:ascii="宋体" w:hAnsi="宋体"/>
                <w:color w:val="000000"/>
                <w:sz w:val="22"/>
                <w:szCs w:val="22"/>
                <w:lang w:bidi="en-US"/>
              </w:rPr>
              <w:t>合规迎检配合</w:t>
            </w:r>
          </w:p>
        </w:tc>
        <w:tc>
          <w:tcPr>
            <w:tcW w:w="4678" w:type="dxa"/>
            <w:tcBorders>
              <w:top w:val="single" w:color="000000" w:sz="4" w:space="0"/>
              <w:left w:val="single" w:color="000000" w:sz="4" w:space="0"/>
              <w:bottom w:val="single" w:color="000000" w:sz="4" w:space="0"/>
              <w:right w:val="single" w:color="000000" w:sz="4" w:space="0"/>
            </w:tcBorders>
            <w:vAlign w:val="center"/>
          </w:tcPr>
          <w:p w14:paraId="51C6C295">
            <w:pPr>
              <w:widowControl/>
              <w:jc w:val="center"/>
              <w:rPr>
                <w:rFonts w:hint="eastAsia" w:ascii="宋体" w:hAnsi="宋体"/>
                <w:color w:val="000000"/>
                <w:sz w:val="22"/>
                <w:szCs w:val="22"/>
              </w:rPr>
            </w:pPr>
            <w:r>
              <w:rPr>
                <w:rFonts w:ascii="宋体" w:hAnsi="宋体"/>
                <w:color w:val="000000"/>
                <w:sz w:val="22"/>
                <w:szCs w:val="22"/>
                <w:lang w:bidi="en-US"/>
              </w:rPr>
              <w:t>《迎检自检报告》</w:t>
            </w:r>
          </w:p>
        </w:tc>
      </w:tr>
      <w:tr w14:paraId="5F511F3E">
        <w:tblPrEx>
          <w:tblCellMar>
            <w:top w:w="0" w:type="dxa"/>
            <w:left w:w="108" w:type="dxa"/>
            <w:bottom w:w="0" w:type="dxa"/>
            <w:right w:w="108" w:type="dxa"/>
          </w:tblCellMar>
        </w:tblPrEx>
        <w:trPr>
          <w:trHeight w:val="986" w:hRule="atLeast"/>
        </w:trPr>
        <w:tc>
          <w:tcPr>
            <w:tcW w:w="691" w:type="dxa"/>
            <w:vMerge w:val="continue"/>
            <w:tcBorders>
              <w:top w:val="single" w:color="000000" w:sz="4" w:space="0"/>
              <w:left w:val="single" w:color="000000" w:sz="4" w:space="0"/>
              <w:bottom w:val="single" w:color="000000" w:sz="4" w:space="0"/>
              <w:right w:val="single" w:color="000000" w:sz="4" w:space="0"/>
            </w:tcBorders>
            <w:vAlign w:val="center"/>
          </w:tcPr>
          <w:p w14:paraId="5E62F89C">
            <w:pPr>
              <w:jc w:val="center"/>
              <w:rPr>
                <w:rFonts w:eastAsia="等线"/>
                <w:color w:val="000000"/>
                <w:sz w:val="22"/>
                <w:szCs w:val="22"/>
              </w:rPr>
            </w:pPr>
          </w:p>
        </w:tc>
        <w:tc>
          <w:tcPr>
            <w:tcW w:w="3973" w:type="dxa"/>
            <w:tcBorders>
              <w:top w:val="single" w:color="000000" w:sz="4" w:space="0"/>
              <w:left w:val="single" w:color="000000" w:sz="4" w:space="0"/>
              <w:bottom w:val="single" w:color="000000" w:sz="4" w:space="0"/>
              <w:right w:val="single" w:color="000000" w:sz="4" w:space="0"/>
            </w:tcBorders>
            <w:vAlign w:val="center"/>
          </w:tcPr>
          <w:p w14:paraId="15E871AF">
            <w:pPr>
              <w:widowControl/>
              <w:jc w:val="center"/>
              <w:rPr>
                <w:rFonts w:hint="eastAsia" w:ascii="宋体" w:hAnsi="宋体"/>
                <w:color w:val="000000"/>
                <w:sz w:val="22"/>
                <w:szCs w:val="22"/>
              </w:rPr>
            </w:pPr>
            <w:r>
              <w:rPr>
                <w:rFonts w:ascii="宋体" w:hAnsi="宋体"/>
                <w:color w:val="000000"/>
                <w:sz w:val="22"/>
                <w:szCs w:val="22"/>
                <w:lang w:bidi="en-US"/>
              </w:rPr>
              <w:t>护网专项保障</w:t>
            </w:r>
          </w:p>
        </w:tc>
        <w:tc>
          <w:tcPr>
            <w:tcW w:w="4678" w:type="dxa"/>
            <w:tcBorders>
              <w:top w:val="single" w:color="000000" w:sz="4" w:space="0"/>
              <w:left w:val="single" w:color="000000" w:sz="4" w:space="0"/>
              <w:bottom w:val="single" w:color="000000" w:sz="4" w:space="0"/>
              <w:right w:val="single" w:color="000000" w:sz="4" w:space="0"/>
            </w:tcBorders>
            <w:vAlign w:val="center"/>
          </w:tcPr>
          <w:p w14:paraId="10F90F2E">
            <w:pPr>
              <w:widowControl/>
              <w:jc w:val="center"/>
              <w:rPr>
                <w:rFonts w:hint="eastAsia" w:ascii="宋体" w:hAnsi="宋体"/>
                <w:color w:val="000000"/>
                <w:sz w:val="22"/>
                <w:szCs w:val="22"/>
                <w:lang w:bidi="en-US"/>
              </w:rPr>
            </w:pPr>
            <w:r>
              <w:rPr>
                <w:rFonts w:ascii="宋体" w:hAnsi="宋体"/>
                <w:color w:val="000000"/>
                <w:sz w:val="22"/>
                <w:szCs w:val="22"/>
                <w:lang w:bidi="en-US"/>
              </w:rPr>
              <w:t>《防守日报》</w:t>
            </w:r>
          </w:p>
          <w:p w14:paraId="68A44213">
            <w:pPr>
              <w:widowControl/>
              <w:jc w:val="center"/>
              <w:rPr>
                <w:rFonts w:hint="eastAsia" w:ascii="宋体" w:hAnsi="宋体"/>
                <w:color w:val="000000"/>
                <w:sz w:val="22"/>
                <w:szCs w:val="22"/>
                <w:lang w:bidi="en-US"/>
              </w:rPr>
            </w:pPr>
            <w:r>
              <w:rPr>
                <w:rFonts w:ascii="宋体" w:hAnsi="宋体"/>
                <w:color w:val="000000"/>
                <w:sz w:val="22"/>
                <w:szCs w:val="22"/>
                <w:lang w:bidi="en-US"/>
              </w:rPr>
              <w:t>《防守方演练总结报告》</w:t>
            </w:r>
          </w:p>
          <w:p w14:paraId="115E0777">
            <w:pPr>
              <w:widowControl/>
              <w:jc w:val="center"/>
              <w:rPr>
                <w:rFonts w:hint="eastAsia" w:ascii="宋体" w:hAnsi="宋体"/>
                <w:color w:val="000000"/>
                <w:sz w:val="22"/>
                <w:szCs w:val="22"/>
              </w:rPr>
            </w:pPr>
            <w:r>
              <w:rPr>
                <w:rFonts w:ascii="宋体" w:hAnsi="宋体"/>
                <w:color w:val="000000"/>
                <w:sz w:val="22"/>
                <w:szCs w:val="22"/>
                <w:lang w:bidi="en-US"/>
              </w:rPr>
              <w:t>《问题整改跟进记录》</w:t>
            </w:r>
          </w:p>
        </w:tc>
      </w:tr>
      <w:tr w14:paraId="0D6E5F2B">
        <w:tblPrEx>
          <w:tblCellMar>
            <w:top w:w="0" w:type="dxa"/>
            <w:left w:w="108" w:type="dxa"/>
            <w:bottom w:w="0" w:type="dxa"/>
            <w:right w:w="108" w:type="dxa"/>
          </w:tblCellMar>
        </w:tblPrEx>
        <w:trPr>
          <w:trHeight w:val="830" w:hRule="atLeast"/>
        </w:trPr>
        <w:tc>
          <w:tcPr>
            <w:tcW w:w="691" w:type="dxa"/>
            <w:vMerge w:val="restart"/>
            <w:tcBorders>
              <w:top w:val="single" w:color="000000" w:sz="4" w:space="0"/>
              <w:left w:val="single" w:color="000000" w:sz="4" w:space="0"/>
              <w:bottom w:val="nil"/>
              <w:right w:val="single" w:color="000000" w:sz="4" w:space="0"/>
            </w:tcBorders>
            <w:vAlign w:val="center"/>
          </w:tcPr>
          <w:p w14:paraId="46288482">
            <w:pPr>
              <w:widowControl/>
              <w:jc w:val="center"/>
              <w:rPr>
                <w:rFonts w:hint="eastAsia" w:ascii="宋体" w:hAnsi="宋体"/>
                <w:color w:val="000000"/>
                <w:sz w:val="22"/>
                <w:szCs w:val="22"/>
              </w:rPr>
            </w:pPr>
            <w:r>
              <w:rPr>
                <w:rFonts w:ascii="宋体" w:hAnsi="宋体"/>
                <w:color w:val="000000"/>
                <w:sz w:val="22"/>
                <w:szCs w:val="22"/>
                <w:lang w:bidi="en-US"/>
              </w:rPr>
              <w:t>安全培训体系</w:t>
            </w:r>
          </w:p>
        </w:tc>
        <w:tc>
          <w:tcPr>
            <w:tcW w:w="3973" w:type="dxa"/>
            <w:tcBorders>
              <w:top w:val="single" w:color="000000" w:sz="4" w:space="0"/>
              <w:left w:val="single" w:color="000000" w:sz="4" w:space="0"/>
              <w:bottom w:val="single" w:color="000000" w:sz="4" w:space="0"/>
              <w:right w:val="single" w:color="000000" w:sz="4" w:space="0"/>
            </w:tcBorders>
            <w:vAlign w:val="center"/>
          </w:tcPr>
          <w:p w14:paraId="1B705A27">
            <w:pPr>
              <w:widowControl/>
              <w:jc w:val="center"/>
              <w:rPr>
                <w:rFonts w:eastAsia="等线"/>
                <w:color w:val="000000"/>
                <w:sz w:val="22"/>
                <w:szCs w:val="22"/>
              </w:rPr>
            </w:pPr>
            <w:r>
              <w:rPr>
                <w:rFonts w:ascii="宋体" w:hAnsi="宋体"/>
                <w:color w:val="000000"/>
                <w:sz w:val="22"/>
                <w:szCs w:val="22"/>
                <w:lang w:bidi="en-US"/>
              </w:rPr>
              <w:t>开展安全意识培训</w:t>
            </w:r>
          </w:p>
        </w:tc>
        <w:tc>
          <w:tcPr>
            <w:tcW w:w="4678" w:type="dxa"/>
            <w:tcBorders>
              <w:top w:val="single" w:color="000000" w:sz="4" w:space="0"/>
              <w:left w:val="single" w:color="000000" w:sz="4" w:space="0"/>
              <w:bottom w:val="single" w:color="000000" w:sz="4" w:space="0"/>
              <w:right w:val="single" w:color="000000" w:sz="4" w:space="0"/>
            </w:tcBorders>
            <w:vAlign w:val="center"/>
          </w:tcPr>
          <w:p w14:paraId="403F455D">
            <w:pPr>
              <w:widowControl/>
              <w:jc w:val="center"/>
              <w:rPr>
                <w:rFonts w:hint="eastAsia" w:ascii="宋体" w:hAnsi="宋体"/>
                <w:color w:val="000000"/>
                <w:sz w:val="22"/>
                <w:szCs w:val="22"/>
                <w:lang w:bidi="en-US"/>
              </w:rPr>
            </w:pPr>
            <w:r>
              <w:rPr>
                <w:rFonts w:ascii="宋体" w:hAnsi="宋体"/>
                <w:color w:val="000000"/>
                <w:sz w:val="22"/>
                <w:szCs w:val="22"/>
                <w:lang w:bidi="en-US"/>
              </w:rPr>
              <w:t>《安全意识培训记录表》</w:t>
            </w:r>
          </w:p>
          <w:p w14:paraId="5654C74B">
            <w:pPr>
              <w:widowControl/>
              <w:jc w:val="center"/>
              <w:rPr>
                <w:rFonts w:hint="eastAsia" w:ascii="宋体" w:hAnsi="宋体"/>
                <w:color w:val="000000"/>
                <w:sz w:val="22"/>
                <w:szCs w:val="22"/>
              </w:rPr>
            </w:pPr>
            <w:r>
              <w:rPr>
                <w:rFonts w:ascii="宋体" w:hAnsi="宋体"/>
                <w:color w:val="000000"/>
                <w:sz w:val="22"/>
                <w:szCs w:val="22"/>
              </w:rPr>
              <w:t>《钓鱼演练总结报告》</w:t>
            </w:r>
          </w:p>
        </w:tc>
      </w:tr>
      <w:tr w14:paraId="5C286D44">
        <w:tblPrEx>
          <w:tblCellMar>
            <w:top w:w="0" w:type="dxa"/>
            <w:left w:w="108" w:type="dxa"/>
            <w:bottom w:w="0" w:type="dxa"/>
            <w:right w:w="108" w:type="dxa"/>
          </w:tblCellMar>
        </w:tblPrEx>
        <w:trPr>
          <w:trHeight w:val="559" w:hRule="atLeast"/>
        </w:trPr>
        <w:tc>
          <w:tcPr>
            <w:tcW w:w="691" w:type="dxa"/>
            <w:vMerge w:val="continue"/>
            <w:tcBorders>
              <w:top w:val="nil"/>
              <w:left w:val="single" w:color="000000" w:sz="4" w:space="0"/>
              <w:bottom w:val="nil"/>
              <w:right w:val="single" w:color="000000" w:sz="4" w:space="0"/>
            </w:tcBorders>
            <w:vAlign w:val="center"/>
          </w:tcPr>
          <w:p w14:paraId="5E459CB5">
            <w:pPr>
              <w:jc w:val="center"/>
              <w:rPr>
                <w:rFonts w:hint="eastAsia" w:ascii="宋体" w:hAnsi="宋体"/>
                <w:color w:val="000000"/>
                <w:sz w:val="22"/>
                <w:szCs w:val="22"/>
              </w:rPr>
            </w:pPr>
          </w:p>
        </w:tc>
        <w:tc>
          <w:tcPr>
            <w:tcW w:w="3973" w:type="dxa"/>
            <w:tcBorders>
              <w:top w:val="single" w:color="000000" w:sz="4" w:space="0"/>
              <w:left w:val="single" w:color="000000" w:sz="4" w:space="0"/>
              <w:bottom w:val="single" w:color="000000" w:sz="4" w:space="0"/>
              <w:right w:val="single" w:color="000000" w:sz="4" w:space="0"/>
            </w:tcBorders>
            <w:vAlign w:val="center"/>
          </w:tcPr>
          <w:p w14:paraId="2F99AC6A">
            <w:pPr>
              <w:widowControl/>
              <w:jc w:val="center"/>
              <w:rPr>
                <w:rFonts w:eastAsia="等线"/>
                <w:color w:val="000000"/>
                <w:sz w:val="22"/>
                <w:szCs w:val="22"/>
              </w:rPr>
            </w:pPr>
            <w:r>
              <w:rPr>
                <w:rFonts w:ascii="宋体" w:hAnsi="宋体"/>
                <w:color w:val="000000"/>
                <w:sz w:val="22"/>
                <w:szCs w:val="22"/>
                <w:lang w:bidi="en-US"/>
              </w:rPr>
              <w:t>讲授安全技能培训</w:t>
            </w:r>
          </w:p>
        </w:tc>
        <w:tc>
          <w:tcPr>
            <w:tcW w:w="4678" w:type="dxa"/>
            <w:tcBorders>
              <w:top w:val="single" w:color="000000" w:sz="4" w:space="0"/>
              <w:left w:val="single" w:color="000000" w:sz="4" w:space="0"/>
              <w:bottom w:val="single" w:color="000000" w:sz="4" w:space="0"/>
              <w:right w:val="single" w:color="000000" w:sz="4" w:space="0"/>
            </w:tcBorders>
            <w:vAlign w:val="center"/>
          </w:tcPr>
          <w:p w14:paraId="35781E1F">
            <w:pPr>
              <w:widowControl/>
              <w:jc w:val="center"/>
              <w:rPr>
                <w:rFonts w:hint="eastAsia" w:ascii="宋体" w:hAnsi="宋体"/>
                <w:color w:val="000000"/>
                <w:sz w:val="22"/>
                <w:szCs w:val="22"/>
                <w:lang w:bidi="en-US"/>
              </w:rPr>
            </w:pPr>
            <w:r>
              <w:rPr>
                <w:rFonts w:ascii="宋体" w:hAnsi="宋体"/>
                <w:color w:val="000000"/>
                <w:sz w:val="22"/>
                <w:szCs w:val="22"/>
                <w:lang w:bidi="en-US"/>
              </w:rPr>
              <w:t>《安全技能培训记录表》</w:t>
            </w:r>
          </w:p>
          <w:p w14:paraId="3F502796">
            <w:pPr>
              <w:widowControl/>
              <w:jc w:val="center"/>
              <w:rPr>
                <w:rFonts w:hint="eastAsia" w:ascii="宋体" w:hAnsi="宋体"/>
                <w:color w:val="000000"/>
                <w:sz w:val="22"/>
                <w:szCs w:val="22"/>
                <w:lang w:bidi="en-US"/>
              </w:rPr>
            </w:pPr>
            <w:r>
              <w:rPr>
                <w:rFonts w:ascii="宋体" w:hAnsi="宋体"/>
                <w:color w:val="000000"/>
                <w:sz w:val="22"/>
                <w:szCs w:val="22"/>
                <w:lang w:bidi="en-US"/>
              </w:rPr>
              <w:t>《安全技能参训考核评分表》</w:t>
            </w:r>
          </w:p>
        </w:tc>
      </w:tr>
      <w:tr w14:paraId="7E3722E0">
        <w:tblPrEx>
          <w:tblCellMar>
            <w:top w:w="0" w:type="dxa"/>
            <w:left w:w="108" w:type="dxa"/>
            <w:bottom w:w="0" w:type="dxa"/>
            <w:right w:w="108" w:type="dxa"/>
          </w:tblCellMar>
        </w:tblPrEx>
        <w:trPr>
          <w:trHeight w:val="836" w:hRule="atLeast"/>
        </w:trPr>
        <w:tc>
          <w:tcPr>
            <w:tcW w:w="691" w:type="dxa"/>
            <w:vMerge w:val="continue"/>
            <w:tcBorders>
              <w:top w:val="nil"/>
              <w:left w:val="single" w:color="000000" w:sz="4" w:space="0"/>
              <w:bottom w:val="single" w:color="000000" w:sz="4" w:space="0"/>
              <w:right w:val="single" w:color="000000" w:sz="4" w:space="0"/>
            </w:tcBorders>
            <w:vAlign w:val="center"/>
          </w:tcPr>
          <w:p w14:paraId="15F4BA06">
            <w:pPr>
              <w:jc w:val="center"/>
              <w:rPr>
                <w:rFonts w:hint="eastAsia" w:ascii="宋体" w:hAnsi="宋体"/>
                <w:color w:val="000000"/>
                <w:sz w:val="22"/>
                <w:szCs w:val="22"/>
              </w:rPr>
            </w:pPr>
          </w:p>
        </w:tc>
        <w:tc>
          <w:tcPr>
            <w:tcW w:w="3973" w:type="dxa"/>
            <w:tcBorders>
              <w:top w:val="single" w:color="000000" w:sz="4" w:space="0"/>
              <w:left w:val="single" w:color="000000" w:sz="4" w:space="0"/>
              <w:bottom w:val="single" w:color="000000" w:sz="4" w:space="0"/>
              <w:right w:val="single" w:color="000000" w:sz="4" w:space="0"/>
            </w:tcBorders>
            <w:vAlign w:val="center"/>
          </w:tcPr>
          <w:p w14:paraId="6891365E">
            <w:pPr>
              <w:widowControl/>
              <w:jc w:val="center"/>
              <w:rPr>
                <w:rFonts w:hint="eastAsia" w:ascii="宋体" w:hAnsi="宋体"/>
                <w:color w:val="000000"/>
                <w:sz w:val="22"/>
                <w:szCs w:val="22"/>
                <w:lang w:bidi="en-US"/>
              </w:rPr>
            </w:pPr>
            <w:r>
              <w:rPr>
                <w:rStyle w:val="241"/>
                <w:lang w:bidi="en-US"/>
              </w:rPr>
              <w:t>网络安全宣传周</w:t>
            </w:r>
          </w:p>
        </w:tc>
        <w:tc>
          <w:tcPr>
            <w:tcW w:w="4678" w:type="dxa"/>
            <w:tcBorders>
              <w:top w:val="single" w:color="000000" w:sz="4" w:space="0"/>
              <w:left w:val="single" w:color="000000" w:sz="4" w:space="0"/>
              <w:bottom w:val="single" w:color="000000" w:sz="4" w:space="0"/>
              <w:right w:val="single" w:color="000000" w:sz="4" w:space="0"/>
            </w:tcBorders>
            <w:vAlign w:val="center"/>
          </w:tcPr>
          <w:p w14:paraId="25DFAB36">
            <w:pPr>
              <w:widowControl/>
              <w:jc w:val="center"/>
              <w:rPr>
                <w:rFonts w:hint="eastAsia" w:ascii="宋体" w:hAnsi="宋体"/>
                <w:color w:val="000000"/>
                <w:sz w:val="22"/>
                <w:szCs w:val="22"/>
                <w:lang w:bidi="en-US"/>
              </w:rPr>
            </w:pPr>
            <w:r>
              <w:rPr>
                <w:rFonts w:ascii="宋体" w:hAnsi="宋体"/>
                <w:color w:val="000000"/>
                <w:sz w:val="22"/>
                <w:szCs w:val="22"/>
                <w:lang w:bidi="en-US"/>
              </w:rPr>
              <w:t>《网络安全宣传周方案》</w:t>
            </w:r>
          </w:p>
          <w:p w14:paraId="10B80226">
            <w:pPr>
              <w:widowControl/>
              <w:jc w:val="center"/>
              <w:rPr>
                <w:rFonts w:hint="eastAsia" w:ascii="宋体" w:hAnsi="宋体"/>
                <w:color w:val="000000"/>
                <w:sz w:val="22"/>
                <w:szCs w:val="22"/>
                <w:lang w:bidi="en-US"/>
              </w:rPr>
            </w:pPr>
            <w:r>
              <w:rPr>
                <w:rFonts w:ascii="宋体" w:hAnsi="宋体"/>
                <w:color w:val="000000"/>
                <w:sz w:val="22"/>
                <w:szCs w:val="22"/>
                <w:lang w:bidi="en-US"/>
              </w:rPr>
              <w:t>《宣传周活动实施过程材料》</w:t>
            </w:r>
          </w:p>
        </w:tc>
      </w:tr>
    </w:tbl>
    <w:p w14:paraId="2441D89F"/>
    <w:sectPr>
      <w:footerReference r:id="rId5" w:type="default"/>
      <w:footerReference r:id="rId6" w:type="even"/>
      <w:pgSz w:w="11906" w:h="16838"/>
      <w:pgMar w:top="1418" w:right="1247" w:bottom="1418" w:left="1247" w:header="851" w:footer="992" w:gutter="0"/>
      <w:cols w:space="1701"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叶李廷" w:date="2026-07-27T16:10:15Z" w:initials="">
    <w:p w14:paraId="6E3D783E">
      <w:pPr>
        <w:pStyle w:val="15"/>
        <w:rPr>
          <w:rFonts w:hint="default" w:eastAsia="宋体"/>
          <w:lang w:val="en-US" w:eastAsia="zh-CN"/>
        </w:rPr>
      </w:pPr>
      <w:r>
        <w:rPr>
          <w:rFonts w:hint="eastAsia"/>
          <w:lang w:val="en-US" w:eastAsia="zh-CN"/>
        </w:rPr>
        <w:t>请确认是否设置</w:t>
      </w:r>
      <w:r>
        <w:rPr>
          <w:rFonts w:hint="eastAsia" w:ascii="宋体" w:hAnsi="宋体" w:eastAsia="宋体" w:cs="宋体"/>
          <w:color w:val="000000"/>
          <w:sz w:val="21"/>
          <w:szCs w:val="21"/>
        </w:rPr>
        <w:t>▲</w:t>
      </w:r>
      <w:r>
        <w:rPr>
          <w:rFonts w:hint="eastAsia"/>
          <w:lang w:val="en-US" w:eastAsia="zh-CN"/>
        </w:rPr>
        <w:t>重要条款，如需设置可在下列技术要求中添加</w:t>
      </w:r>
    </w:p>
  </w:comment>
  <w:comment w:id="1" w:author="余宇劲" w:date="2026-08-07T10:42:26Z" w:initials="">
    <w:p w14:paraId="4E41AD6F">
      <w:pPr>
        <w:pStyle w:val="15"/>
        <w:rPr>
          <w:rFonts w:hint="default" w:eastAsia="宋体"/>
          <w:lang w:val="en-US" w:eastAsia="zh-CN"/>
        </w:rPr>
      </w:pPr>
      <w:r>
        <w:rPr>
          <w:rFonts w:hint="eastAsia"/>
          <w:lang w:val="en-US" w:eastAsia="zh-CN"/>
        </w:rPr>
        <w:t>已确认，“技术要求”的条款在评分细则里已有对应分数</w:t>
      </w:r>
    </w:p>
  </w:comment>
  <w:comment w:id="2" w:author="叶李廷" w:date="2026-07-27T16:15:53Z" w:initials="">
    <w:p w14:paraId="30DB73E5">
      <w:pPr>
        <w:pStyle w:val="15"/>
        <w:rPr>
          <w:rFonts w:hint="default" w:eastAsia="宋体"/>
          <w:lang w:val="en-US" w:eastAsia="zh-CN"/>
        </w:rPr>
      </w:pPr>
      <w:r>
        <w:rPr>
          <w:rFonts w:hint="eastAsia"/>
          <w:lang w:val="en-US" w:eastAsia="zh-CN"/>
        </w:rPr>
        <w:t>没太明白，服务期满后应重新进行采购，为何需要另外的服务团队切换？</w:t>
      </w:r>
    </w:p>
  </w:comment>
  <w:comment w:id="3" w:author="余宇劲" w:date="2026-08-07T10:45:49Z" w:initials="">
    <w:p w14:paraId="4098F5C4">
      <w:pPr>
        <w:spacing w:line="360" w:lineRule="auto"/>
        <w:ind w:firstLine="420" w:firstLineChars="200"/>
        <w:rPr>
          <w:rFonts w:hint="default" w:eastAsia="宋体"/>
          <w:lang w:val="en-US" w:eastAsia="zh-CN"/>
        </w:rPr>
      </w:pPr>
      <w:r>
        <w:rPr>
          <w:rFonts w:hint="eastAsia"/>
          <w:lang w:val="en-US" w:eastAsia="zh-CN"/>
        </w:rPr>
        <w:t>是指如存在新旧供应商交接期，应</w:t>
      </w:r>
      <w:r>
        <w:rPr>
          <w:rFonts w:ascii="宋体" w:hAnsi="宋体"/>
          <w:color w:val="000000"/>
          <w:sz w:val="24"/>
        </w:rPr>
        <w:t>给予采购人和相关方</w:t>
      </w:r>
      <w:r>
        <w:rPr>
          <w:rFonts w:hint="eastAsia" w:ascii="宋体" w:hAnsi="宋体"/>
          <w:color w:val="000000"/>
          <w:sz w:val="24"/>
          <w:lang w:eastAsia="zh-CN"/>
        </w:rPr>
        <w:t>（</w:t>
      </w:r>
      <w:r>
        <w:rPr>
          <w:rFonts w:hint="eastAsia" w:ascii="宋体" w:hAnsi="宋体"/>
          <w:color w:val="000000"/>
          <w:sz w:val="24"/>
          <w:lang w:val="en-US" w:eastAsia="zh-CN"/>
        </w:rPr>
        <w:t>如新供应商</w:t>
      </w:r>
      <w:r>
        <w:rPr>
          <w:rFonts w:hint="eastAsia" w:ascii="宋体" w:hAnsi="宋体"/>
          <w:color w:val="000000"/>
          <w:sz w:val="24"/>
          <w:lang w:eastAsia="zh-CN"/>
        </w:rPr>
        <w:t>）</w:t>
      </w:r>
      <w:r>
        <w:rPr>
          <w:rFonts w:ascii="宋体" w:hAnsi="宋体"/>
          <w:color w:val="000000"/>
          <w:sz w:val="24"/>
        </w:rPr>
        <w:t>必要的技术支持和培训。</w:t>
      </w:r>
    </w:p>
  </w:comment>
  <w:comment w:id="4" w:author="叶李廷" w:date="2026-07-27T16:55:46Z" w:initials="">
    <w:p w14:paraId="15304A9A">
      <w:pPr>
        <w:pStyle w:val="15"/>
        <w:rPr>
          <w:rFonts w:hint="default" w:eastAsia="宋体"/>
          <w:lang w:val="en-US" w:eastAsia="zh-CN"/>
        </w:rPr>
      </w:pPr>
      <w:r>
        <w:rPr>
          <w:rFonts w:hint="eastAsia"/>
          <w:lang w:val="en-US" w:eastAsia="zh-CN"/>
        </w:rPr>
        <w:t>项目团队人员人数及要求作为单独评分项在评分表中，与此处皆设置为星号有所冲突，可删除第一段星号。</w:t>
      </w:r>
    </w:p>
  </w:comment>
  <w:comment w:id="5" w:author="余宇劲" w:date="2026-08-07T10:48:58Z" w:initials="">
    <w:p w14:paraId="3C6CF051">
      <w:pPr>
        <w:pStyle w:val="15"/>
        <w:rPr>
          <w:rFonts w:hint="default" w:eastAsia="宋体"/>
          <w:lang w:val="en-US" w:eastAsia="zh-CN"/>
        </w:rPr>
      </w:pPr>
      <w:r>
        <w:rPr>
          <w:rFonts w:hint="eastAsia"/>
          <w:lang w:val="en-US" w:eastAsia="zh-CN"/>
        </w:rPr>
        <w:t>已删除</w:t>
      </w:r>
    </w:p>
  </w:comment>
  <w:comment w:id="6" w:author="叶李廷" w:date="2026-07-27T17:03:45Z" w:initials="">
    <w:p w14:paraId="66D277B3">
      <w:pPr>
        <w:pStyle w:val="15"/>
        <w:rPr>
          <w:rFonts w:hint="default" w:eastAsia="宋体"/>
          <w:lang w:val="en-US" w:eastAsia="zh-CN"/>
        </w:rPr>
      </w:pPr>
      <w:r>
        <w:rPr>
          <w:rFonts w:hint="eastAsia"/>
          <w:lang w:val="en-US" w:eastAsia="zh-CN"/>
        </w:rPr>
        <w:t>和评分表“售后服务方案”评分内容有冲突，可删除星号作为常规条款。</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E3D783E" w15:done="0"/>
  <w15:commentEx w15:paraId="4E41AD6F" w15:done="0" w15:paraIdParent="6E3D783E"/>
  <w15:commentEx w15:paraId="30DB73E5" w15:done="0"/>
  <w15:commentEx w15:paraId="4098F5C4" w15:done="0" w15:paraIdParent="30DB73E5"/>
  <w15:commentEx w15:paraId="15304A9A" w15:done="0"/>
  <w15:commentEx w15:paraId="3C6CF051" w15:done="0" w15:paraIdParent="15304A9A"/>
  <w15:commentEx w15:paraId="66D277B3" w15:done="1"/>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A3853">
    <w:pPr>
      <w:pStyle w:val="24"/>
      <w:snapToGrid/>
      <w:rPr>
        <w:rStyle w:val="42"/>
      </w:rPr>
    </w:pPr>
    <w:r>
      <w:fldChar w:fldCharType="begin"/>
    </w:r>
    <w:r>
      <w:rPr>
        <w:rStyle w:val="42"/>
      </w:rPr>
      <w:instrText xml:space="preserve">PAGE  </w:instrText>
    </w:r>
    <w:r>
      <w:fldChar w:fldCharType="separate"/>
    </w:r>
    <w:r>
      <w:rPr>
        <w:rStyle w:val="42"/>
      </w:rPr>
      <w:t>11</w:t>
    </w:r>
    <w:r>
      <w:fldChar w:fldCharType="end"/>
    </w:r>
  </w:p>
  <w:p w14:paraId="4BBF82BF">
    <w:pPr>
      <w:pStyle w:val="24"/>
      <w:snapToGri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999A0">
    <w:pPr>
      <w:pStyle w:val="24"/>
      <w:snapToGrid/>
      <w:rPr>
        <w:rStyle w:val="42"/>
      </w:rPr>
    </w:pPr>
    <w:r>
      <w:fldChar w:fldCharType="begin"/>
    </w:r>
    <w:r>
      <w:rPr>
        <w:rStyle w:val="42"/>
      </w:rPr>
      <w:instrText xml:space="preserve">PAGE  </w:instrText>
    </w:r>
    <w:r>
      <w:fldChar w:fldCharType="end"/>
    </w:r>
  </w:p>
  <w:p w14:paraId="4E574659">
    <w:pPr>
      <w:pStyle w:val="24"/>
      <w:snapToGrid/>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C463C0"/>
    <w:multiLevelType w:val="multilevel"/>
    <w:tmpl w:val="17C463C0"/>
    <w:lvl w:ilvl="0" w:tentative="0">
      <w:start w:val="1"/>
      <w:numFmt w:val="decimal"/>
      <w:pStyle w:val="211"/>
      <w:suff w:val="nothing"/>
      <w:lvlText w:val="表%1　"/>
      <w:lvlJc w:val="left"/>
      <w:pPr>
        <w:ind w:left="0" w:firstLine="0"/>
      </w:pPr>
      <w:rPr>
        <w:rFonts w:ascii="黑体" w:hAnsi="Times New Roman" w:eastAsia="黑体"/>
        <w:b w:val="0"/>
        <w:i w:val="0"/>
        <w:sz w:val="21"/>
      </w:r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
    <w:nsid w:val="1E957242"/>
    <w:multiLevelType w:val="multilevel"/>
    <w:tmpl w:val="1E957242"/>
    <w:lvl w:ilvl="0" w:tentative="0">
      <w:start w:val="1"/>
      <w:numFmt w:val="decimal"/>
      <w:pStyle w:val="213"/>
      <w:suff w:val="nothing"/>
      <w:lvlText w:val="%1注："/>
      <w:lvlJc w:val="left"/>
      <w:pPr>
        <w:ind w:left="726" w:hanging="363"/>
      </w:pPr>
      <w:rPr>
        <w:rFonts w:ascii="黑体" w:hAnsi="Times New Roman" w:eastAsia="黑体"/>
        <w:b w:val="0"/>
        <w:i w:val="0"/>
        <w:sz w:val="18"/>
        <w:szCs w:val="18"/>
      </w:rPr>
    </w:lvl>
    <w:lvl w:ilvl="1" w:tentative="0">
      <w:start w:val="1"/>
      <w:numFmt w:val="lowerLetter"/>
      <w:lvlText w:val="%2)"/>
      <w:lvlJc w:val="left"/>
      <w:pPr>
        <w:tabs>
          <w:tab w:val="left" w:pos="1140"/>
        </w:tabs>
        <w:ind w:left="726" w:hanging="363"/>
      </w:pPr>
    </w:lvl>
    <w:lvl w:ilvl="2" w:tentative="0">
      <w:start w:val="1"/>
      <w:numFmt w:val="lowerRoman"/>
      <w:lvlText w:val="%3."/>
      <w:lvlJc w:val="right"/>
      <w:pPr>
        <w:tabs>
          <w:tab w:val="left" w:pos="1140"/>
        </w:tabs>
        <w:ind w:left="726" w:hanging="363"/>
      </w:pPr>
    </w:lvl>
    <w:lvl w:ilvl="3" w:tentative="0">
      <w:start w:val="1"/>
      <w:numFmt w:val="decimal"/>
      <w:lvlText w:val="%4."/>
      <w:lvlJc w:val="left"/>
      <w:pPr>
        <w:tabs>
          <w:tab w:val="left" w:pos="1140"/>
        </w:tabs>
        <w:ind w:left="726" w:hanging="363"/>
      </w:pPr>
    </w:lvl>
    <w:lvl w:ilvl="4" w:tentative="0">
      <w:start w:val="1"/>
      <w:numFmt w:val="lowerLetter"/>
      <w:lvlText w:val="%5)"/>
      <w:lvlJc w:val="left"/>
      <w:pPr>
        <w:tabs>
          <w:tab w:val="left" w:pos="1140"/>
        </w:tabs>
        <w:ind w:left="726" w:hanging="363"/>
      </w:pPr>
    </w:lvl>
    <w:lvl w:ilvl="5" w:tentative="0">
      <w:start w:val="1"/>
      <w:numFmt w:val="lowerRoman"/>
      <w:lvlText w:val="%6."/>
      <w:lvlJc w:val="right"/>
      <w:pPr>
        <w:tabs>
          <w:tab w:val="left" w:pos="1140"/>
        </w:tabs>
        <w:ind w:left="726" w:hanging="363"/>
      </w:pPr>
    </w:lvl>
    <w:lvl w:ilvl="6" w:tentative="0">
      <w:start w:val="1"/>
      <w:numFmt w:val="decimal"/>
      <w:lvlText w:val="%7."/>
      <w:lvlJc w:val="left"/>
      <w:pPr>
        <w:tabs>
          <w:tab w:val="left" w:pos="1140"/>
        </w:tabs>
        <w:ind w:left="726" w:hanging="363"/>
      </w:pPr>
    </w:lvl>
    <w:lvl w:ilvl="7" w:tentative="0">
      <w:start w:val="1"/>
      <w:numFmt w:val="lowerLetter"/>
      <w:lvlText w:val="%8)"/>
      <w:lvlJc w:val="left"/>
      <w:pPr>
        <w:tabs>
          <w:tab w:val="left" w:pos="1140"/>
        </w:tabs>
        <w:ind w:left="726" w:hanging="363"/>
      </w:pPr>
    </w:lvl>
    <w:lvl w:ilvl="8" w:tentative="0">
      <w:start w:val="1"/>
      <w:numFmt w:val="lowerRoman"/>
      <w:lvlText w:val="%9."/>
      <w:lvlJc w:val="right"/>
      <w:pPr>
        <w:tabs>
          <w:tab w:val="left" w:pos="1140"/>
        </w:tabs>
        <w:ind w:left="726" w:hanging="363"/>
      </w:pPr>
    </w:lvl>
  </w:abstractNum>
  <w:abstractNum w:abstractNumId="2">
    <w:nsid w:val="21BC5128"/>
    <w:multiLevelType w:val="multilevel"/>
    <w:tmpl w:val="21BC5128"/>
    <w:lvl w:ilvl="0" w:tentative="0">
      <w:start w:val="1"/>
      <w:numFmt w:val="decimal"/>
      <w:suff w:val="nothing"/>
      <w:lvlText w:val="（%1）"/>
      <w:lvlJc w:val="left"/>
    </w:lvl>
    <w:lvl w:ilvl="1" w:tentative="0">
      <w:start w:val="1"/>
      <w:numFmt w:val="bullet"/>
      <w:lvlText w:val="o"/>
      <w:lvlJc w:val="left"/>
      <w:pPr>
        <w:ind w:left="840" w:hanging="420"/>
      </w:pPr>
      <w:rPr>
        <w:rFonts w:hint="default" w:ascii="Courier New" w:hAnsi="Courier New" w:eastAsia="Courier New" w:cs="Courier New"/>
      </w:rPr>
    </w:lvl>
    <w:lvl w:ilvl="2" w:tentative="0">
      <w:start w:val="1"/>
      <w:numFmt w:val="bullet"/>
      <w:lvlText w:val="§"/>
      <w:lvlJc w:val="left"/>
      <w:pPr>
        <w:ind w:left="1260" w:hanging="420"/>
      </w:pPr>
      <w:rPr>
        <w:rFonts w:hint="default" w:ascii="Wingdings" w:hAnsi="Wingdings" w:eastAsia="Wingdings" w:cs="Wingdings"/>
      </w:rPr>
    </w:lvl>
    <w:lvl w:ilvl="3" w:tentative="0">
      <w:start w:val="1"/>
      <w:numFmt w:val="bullet"/>
      <w:lvlText w:val="·"/>
      <w:lvlJc w:val="left"/>
      <w:pPr>
        <w:ind w:left="1680" w:hanging="420"/>
      </w:pPr>
      <w:rPr>
        <w:rFonts w:hint="default" w:ascii="Symbol" w:hAnsi="Symbol" w:eastAsia="Symbol" w:cs="Symbol"/>
      </w:rPr>
    </w:lvl>
    <w:lvl w:ilvl="4" w:tentative="0">
      <w:start w:val="1"/>
      <w:numFmt w:val="bullet"/>
      <w:lvlText w:val="o"/>
      <w:lvlJc w:val="left"/>
      <w:pPr>
        <w:ind w:left="2100" w:hanging="420"/>
      </w:pPr>
      <w:rPr>
        <w:rFonts w:hint="default" w:ascii="Courier New" w:hAnsi="Courier New" w:eastAsia="Courier New" w:cs="Courier New"/>
      </w:rPr>
    </w:lvl>
    <w:lvl w:ilvl="5" w:tentative="0">
      <w:start w:val="1"/>
      <w:numFmt w:val="bullet"/>
      <w:lvlText w:val="§"/>
      <w:lvlJc w:val="left"/>
      <w:pPr>
        <w:ind w:left="2520" w:hanging="420"/>
      </w:pPr>
      <w:rPr>
        <w:rFonts w:hint="default" w:ascii="Wingdings" w:hAnsi="Wingdings" w:eastAsia="Wingdings" w:cs="Wingdings"/>
      </w:rPr>
    </w:lvl>
    <w:lvl w:ilvl="6" w:tentative="0">
      <w:start w:val="1"/>
      <w:numFmt w:val="bullet"/>
      <w:lvlText w:val="·"/>
      <w:lvlJc w:val="left"/>
      <w:pPr>
        <w:ind w:left="2940" w:hanging="420"/>
      </w:pPr>
      <w:rPr>
        <w:rFonts w:hint="default" w:ascii="Symbol" w:hAnsi="Symbol" w:eastAsia="Symbol" w:cs="Symbol"/>
      </w:rPr>
    </w:lvl>
    <w:lvl w:ilvl="7" w:tentative="0">
      <w:start w:val="1"/>
      <w:numFmt w:val="bullet"/>
      <w:lvlText w:val="o"/>
      <w:lvlJc w:val="left"/>
      <w:pPr>
        <w:ind w:left="3360" w:hanging="420"/>
      </w:pPr>
      <w:rPr>
        <w:rFonts w:hint="default" w:ascii="Courier New" w:hAnsi="Courier New" w:eastAsia="Courier New" w:cs="Courier New"/>
      </w:rPr>
    </w:lvl>
    <w:lvl w:ilvl="8" w:tentative="0">
      <w:start w:val="1"/>
      <w:numFmt w:val="bullet"/>
      <w:lvlText w:val="§"/>
      <w:lvlJc w:val="left"/>
      <w:pPr>
        <w:ind w:left="3780" w:hanging="420"/>
      </w:pPr>
      <w:rPr>
        <w:rFonts w:hint="default" w:ascii="Wingdings" w:hAnsi="Wingdings" w:eastAsia="Wingdings" w:cs="Wingdings"/>
      </w:rPr>
    </w:lvl>
  </w:abstractNum>
  <w:abstractNum w:abstractNumId="3">
    <w:nsid w:val="255A370D"/>
    <w:multiLevelType w:val="multilevel"/>
    <w:tmpl w:val="255A370D"/>
    <w:lvl w:ilvl="0" w:tentative="0">
      <w:start w:val="1"/>
      <w:numFmt w:val="decimal"/>
      <w:pStyle w:val="220"/>
      <w:suff w:val="nothing"/>
      <w:lvlText w:val="%1　"/>
      <w:lvlJc w:val="left"/>
      <w:pPr>
        <w:ind w:left="0" w:firstLine="0"/>
      </w:pPr>
      <w:rPr>
        <w:rFonts w:ascii="黑体" w:hAnsi="Times New Roman" w:eastAsia="黑体"/>
        <w:b w:val="0"/>
        <w:i w:val="0"/>
        <w:sz w:val="21"/>
        <w:szCs w:val="21"/>
      </w:rPr>
    </w:lvl>
    <w:lvl w:ilvl="1" w:tentative="0">
      <w:start w:val="1"/>
      <w:numFmt w:val="decimal"/>
      <w:pStyle w:val="218"/>
      <w:suff w:val="nothing"/>
      <w:lvlText w:val="%1.%2　"/>
      <w:lvlJc w:val="left"/>
      <w:pPr>
        <w:ind w:left="0" w:firstLine="0"/>
      </w:pPr>
      <w:rPr>
        <w:rFonts w:ascii="黑体" w:hAnsi="Times New Roman" w:eastAsia="黑体"/>
        <w:b w:val="0"/>
        <w:bCs w:val="0"/>
        <w:i w:val="0"/>
        <w:iCs w:val="0"/>
        <w:caps w:val="0"/>
        <w:strike w:val="0"/>
        <w:vanish w:val="0"/>
        <w:spacing w:val="0"/>
        <w:position w:val="0"/>
        <w:sz w:val="21"/>
        <w:szCs w:val="21"/>
        <w:u w:val="none"/>
        <w:vertAlign w:val="baseline"/>
      </w:rPr>
    </w:lvl>
    <w:lvl w:ilvl="2" w:tentative="0">
      <w:start w:val="1"/>
      <w:numFmt w:val="decimal"/>
      <w:pStyle w:val="229"/>
      <w:suff w:val="nothing"/>
      <w:lvlText w:val="%1.%2.%3　"/>
      <w:lvlJc w:val="left"/>
      <w:pPr>
        <w:ind w:left="0" w:firstLine="0"/>
      </w:pPr>
      <w:rPr>
        <w:rFonts w:ascii="黑体" w:hAnsi="Times New Roman" w:eastAsia="黑体"/>
        <w:b w:val="0"/>
        <w:i w:val="0"/>
        <w:sz w:val="21"/>
      </w:rPr>
    </w:lvl>
    <w:lvl w:ilvl="3" w:tentative="0">
      <w:start w:val="1"/>
      <w:numFmt w:val="decimal"/>
      <w:suff w:val="nothing"/>
      <w:lvlText w:val="%1.%2.%3.%4　"/>
      <w:lvlJc w:val="left"/>
      <w:pPr>
        <w:ind w:left="0" w:firstLine="0"/>
      </w:pPr>
      <w:rPr>
        <w:rFonts w:ascii="黑体" w:hAnsi="Times New Roman" w:eastAsia="黑体"/>
        <w:b w:val="0"/>
        <w:i w:val="0"/>
        <w:sz w:val="21"/>
      </w:rPr>
    </w:lvl>
    <w:lvl w:ilvl="4" w:tentative="0">
      <w:start w:val="1"/>
      <w:numFmt w:val="decimal"/>
      <w:pStyle w:val="217"/>
      <w:suff w:val="nothing"/>
      <w:lvlText w:val="%1.%2.%3.%4.%5　"/>
      <w:lvlJc w:val="left"/>
      <w:pPr>
        <w:ind w:left="0" w:firstLine="0"/>
      </w:pPr>
      <w:rPr>
        <w:rFonts w:ascii="黑体" w:hAnsi="Times New Roman" w:eastAsia="黑体"/>
        <w:b w:val="0"/>
        <w:i w:val="0"/>
        <w:sz w:val="21"/>
      </w:rPr>
    </w:lvl>
    <w:lvl w:ilvl="5" w:tentative="0">
      <w:start w:val="1"/>
      <w:numFmt w:val="decimal"/>
      <w:pStyle w:val="216"/>
      <w:suff w:val="nothing"/>
      <w:lvlText w:val="%1.%2.%3.%4.%5.%6　"/>
      <w:lvlJc w:val="left"/>
      <w:pPr>
        <w:ind w:left="0" w:firstLine="0"/>
      </w:pPr>
      <w:rPr>
        <w:rFonts w:ascii="黑体" w:hAnsi="Times New Roman" w:eastAsia="黑体"/>
        <w:b w:val="0"/>
        <w:i w:val="0"/>
        <w:sz w:val="21"/>
      </w:rPr>
    </w:lvl>
    <w:lvl w:ilvl="6" w:tentative="0">
      <w:start w:val="1"/>
      <w:numFmt w:val="decimal"/>
      <w:suff w:val="nothing"/>
      <w:lvlText w:val="%1%2.%3.%4.%5.%6.%7　"/>
      <w:lvlJc w:val="left"/>
      <w:pPr>
        <w:ind w:left="0" w:firstLine="0"/>
      </w:pPr>
      <w:rPr>
        <w:rFonts w:ascii="黑体" w:hAnsi="Times New Roman" w:eastAsia="黑体"/>
        <w:b w:val="0"/>
        <w:i w:val="0"/>
        <w:sz w:val="21"/>
      </w:rPr>
    </w:lvl>
    <w:lvl w:ilvl="7" w:tentative="0">
      <w:start w:val="1"/>
      <w:numFmt w:val="decimal"/>
      <w:lvlText w:val="%1.%2.%3.%4.%5.%6.%7.%8"/>
      <w:lvlJc w:val="left"/>
      <w:pPr>
        <w:tabs>
          <w:tab w:val="left" w:pos="4351"/>
        </w:tabs>
        <w:ind w:left="3969" w:hanging="1418"/>
      </w:pPr>
    </w:lvl>
    <w:lvl w:ilvl="8" w:tentative="0">
      <w:start w:val="1"/>
      <w:numFmt w:val="decimal"/>
      <w:lvlText w:val="%1.%2.%3.%4.%5.%6.%7.%8.%9"/>
      <w:lvlJc w:val="left"/>
      <w:pPr>
        <w:tabs>
          <w:tab w:val="left" w:pos="4777"/>
        </w:tabs>
        <w:ind w:left="4677" w:hanging="1700"/>
      </w:pPr>
    </w:lvl>
  </w:abstractNum>
  <w:abstractNum w:abstractNumId="4">
    <w:nsid w:val="286E3AC6"/>
    <w:multiLevelType w:val="multilevel"/>
    <w:tmpl w:val="286E3AC6"/>
    <w:lvl w:ilvl="0" w:tentative="0">
      <w:start w:val="1"/>
      <w:numFmt w:val="chineseCounting"/>
      <w:suff w:val="nothing"/>
      <w:lvlText w:val="%1、"/>
      <w:lvlJc w:val="left"/>
    </w:lvl>
    <w:lvl w:ilvl="1" w:tentative="0">
      <w:start w:val="1"/>
      <w:numFmt w:val="bullet"/>
      <w:lvlText w:val="o"/>
      <w:lvlJc w:val="left"/>
      <w:pPr>
        <w:ind w:left="3675" w:hanging="420"/>
      </w:pPr>
      <w:rPr>
        <w:rFonts w:hint="default" w:ascii="Courier New" w:hAnsi="Courier New" w:eastAsia="Courier New" w:cs="Courier New"/>
      </w:rPr>
    </w:lvl>
    <w:lvl w:ilvl="2" w:tentative="0">
      <w:start w:val="1"/>
      <w:numFmt w:val="bullet"/>
      <w:lvlText w:val="§"/>
      <w:lvlJc w:val="left"/>
      <w:pPr>
        <w:ind w:left="4095" w:hanging="420"/>
      </w:pPr>
      <w:rPr>
        <w:rFonts w:hint="default" w:ascii="Wingdings" w:hAnsi="Wingdings" w:eastAsia="Wingdings" w:cs="Wingdings"/>
      </w:rPr>
    </w:lvl>
    <w:lvl w:ilvl="3" w:tentative="0">
      <w:start w:val="1"/>
      <w:numFmt w:val="bullet"/>
      <w:lvlText w:val="·"/>
      <w:lvlJc w:val="left"/>
      <w:pPr>
        <w:ind w:left="4515" w:hanging="420"/>
      </w:pPr>
      <w:rPr>
        <w:rFonts w:hint="default" w:ascii="Symbol" w:hAnsi="Symbol" w:eastAsia="Symbol" w:cs="Symbol"/>
      </w:rPr>
    </w:lvl>
    <w:lvl w:ilvl="4" w:tentative="0">
      <w:start w:val="1"/>
      <w:numFmt w:val="bullet"/>
      <w:lvlText w:val="o"/>
      <w:lvlJc w:val="left"/>
      <w:pPr>
        <w:ind w:left="4935" w:hanging="420"/>
      </w:pPr>
      <w:rPr>
        <w:rFonts w:hint="default" w:ascii="Courier New" w:hAnsi="Courier New" w:eastAsia="Courier New" w:cs="Courier New"/>
      </w:rPr>
    </w:lvl>
    <w:lvl w:ilvl="5" w:tentative="0">
      <w:start w:val="1"/>
      <w:numFmt w:val="bullet"/>
      <w:lvlText w:val="§"/>
      <w:lvlJc w:val="left"/>
      <w:pPr>
        <w:ind w:left="5355" w:hanging="420"/>
      </w:pPr>
      <w:rPr>
        <w:rFonts w:hint="default" w:ascii="Wingdings" w:hAnsi="Wingdings" w:eastAsia="Wingdings" w:cs="Wingdings"/>
      </w:rPr>
    </w:lvl>
    <w:lvl w:ilvl="6" w:tentative="0">
      <w:start w:val="1"/>
      <w:numFmt w:val="bullet"/>
      <w:lvlText w:val="·"/>
      <w:lvlJc w:val="left"/>
      <w:pPr>
        <w:ind w:left="5775" w:hanging="420"/>
      </w:pPr>
      <w:rPr>
        <w:rFonts w:hint="default" w:ascii="Symbol" w:hAnsi="Symbol" w:eastAsia="Symbol" w:cs="Symbol"/>
      </w:rPr>
    </w:lvl>
    <w:lvl w:ilvl="7" w:tentative="0">
      <w:start w:val="1"/>
      <w:numFmt w:val="bullet"/>
      <w:lvlText w:val="o"/>
      <w:lvlJc w:val="left"/>
      <w:pPr>
        <w:ind w:left="6195" w:hanging="420"/>
      </w:pPr>
      <w:rPr>
        <w:rFonts w:hint="default" w:ascii="Courier New" w:hAnsi="Courier New" w:eastAsia="Courier New" w:cs="Courier New"/>
      </w:rPr>
    </w:lvl>
    <w:lvl w:ilvl="8" w:tentative="0">
      <w:start w:val="1"/>
      <w:numFmt w:val="bullet"/>
      <w:lvlText w:val="§"/>
      <w:lvlJc w:val="left"/>
      <w:pPr>
        <w:ind w:left="6615" w:hanging="420"/>
      </w:pPr>
      <w:rPr>
        <w:rFonts w:hint="default" w:ascii="Wingdings" w:hAnsi="Wingdings" w:eastAsia="Wingdings" w:cs="Wingdings"/>
      </w:rPr>
    </w:lvl>
  </w:abstractNum>
  <w:abstractNum w:abstractNumId="5">
    <w:nsid w:val="35891036"/>
    <w:multiLevelType w:val="multilevel"/>
    <w:tmpl w:val="35891036"/>
    <w:lvl w:ilvl="0" w:tentative="0">
      <w:start w:val="1"/>
      <w:numFmt w:val="lowerLetter"/>
      <w:pStyle w:val="223"/>
      <w:lvlText w:val="%1)"/>
      <w:lvlJc w:val="left"/>
      <w:pPr>
        <w:tabs>
          <w:tab w:val="left" w:pos="840"/>
        </w:tabs>
        <w:ind w:left="839" w:hanging="419"/>
      </w:pPr>
      <w:rPr>
        <w:rFonts w:ascii="宋体" w:eastAsia="宋体"/>
        <w:b w:val="0"/>
        <w:i w:val="0"/>
        <w:sz w:val="21"/>
        <w:szCs w:val="21"/>
      </w:rPr>
    </w:lvl>
    <w:lvl w:ilvl="1" w:tentative="0">
      <w:start w:val="1"/>
      <w:numFmt w:val="decimal"/>
      <w:pStyle w:val="227"/>
      <w:lvlText w:val="%2)"/>
      <w:lvlJc w:val="left"/>
      <w:pPr>
        <w:tabs>
          <w:tab w:val="left" w:pos="1260"/>
        </w:tabs>
        <w:ind w:left="1259" w:hanging="419"/>
      </w:pPr>
    </w:lvl>
    <w:lvl w:ilvl="2" w:tentative="0">
      <w:start w:val="1"/>
      <w:numFmt w:val="decimal"/>
      <w:lvlText w:val="(%3)"/>
      <w:lvlJc w:val="left"/>
      <w:pPr>
        <w:tabs>
          <w:tab w:val="left" w:pos="0"/>
        </w:tabs>
        <w:ind w:left="1679" w:hanging="420"/>
      </w:pPr>
      <w:rPr>
        <w:rFonts w:ascii="宋体" w:eastAsia="宋体"/>
        <w:b w:val="0"/>
        <w:i w:val="0"/>
        <w:sz w:val="21"/>
        <w:szCs w:val="21"/>
      </w:rPr>
    </w:lvl>
    <w:lvl w:ilvl="3" w:tentative="0">
      <w:start w:val="1"/>
      <w:numFmt w:val="decimal"/>
      <w:lvlText w:val="%4."/>
      <w:lvlJc w:val="left"/>
      <w:pPr>
        <w:tabs>
          <w:tab w:val="left" w:pos="2100"/>
        </w:tabs>
        <w:ind w:left="2099" w:hanging="419"/>
      </w:pPr>
    </w:lvl>
    <w:lvl w:ilvl="4" w:tentative="0">
      <w:start w:val="1"/>
      <w:numFmt w:val="lowerLetter"/>
      <w:lvlText w:val="%5)"/>
      <w:lvlJc w:val="left"/>
      <w:pPr>
        <w:tabs>
          <w:tab w:val="left" w:pos="2520"/>
        </w:tabs>
        <w:ind w:left="2519" w:hanging="419"/>
      </w:pPr>
    </w:lvl>
    <w:lvl w:ilvl="5" w:tentative="0">
      <w:start w:val="1"/>
      <w:numFmt w:val="lowerRoman"/>
      <w:lvlText w:val="%6."/>
      <w:lvlJc w:val="right"/>
      <w:pPr>
        <w:tabs>
          <w:tab w:val="left" w:pos="2940"/>
        </w:tabs>
        <w:ind w:left="2939" w:hanging="419"/>
      </w:pPr>
    </w:lvl>
    <w:lvl w:ilvl="6" w:tentative="0">
      <w:start w:val="1"/>
      <w:numFmt w:val="decimal"/>
      <w:lvlText w:val="%7."/>
      <w:lvlJc w:val="left"/>
      <w:pPr>
        <w:tabs>
          <w:tab w:val="left" w:pos="3360"/>
        </w:tabs>
        <w:ind w:left="3359" w:hanging="419"/>
      </w:pPr>
    </w:lvl>
    <w:lvl w:ilvl="7" w:tentative="0">
      <w:start w:val="1"/>
      <w:numFmt w:val="lowerLetter"/>
      <w:lvlText w:val="%8)"/>
      <w:lvlJc w:val="left"/>
      <w:pPr>
        <w:tabs>
          <w:tab w:val="left" w:pos="3780"/>
        </w:tabs>
        <w:ind w:left="3779" w:hanging="419"/>
      </w:pPr>
    </w:lvl>
    <w:lvl w:ilvl="8" w:tentative="0">
      <w:start w:val="1"/>
      <w:numFmt w:val="lowerRoman"/>
      <w:lvlText w:val="%9."/>
      <w:lvlJc w:val="right"/>
      <w:pPr>
        <w:tabs>
          <w:tab w:val="left" w:pos="4200"/>
        </w:tabs>
        <w:ind w:left="4199" w:hanging="419"/>
      </w:pPr>
    </w:lvl>
  </w:abstractNum>
  <w:abstractNum w:abstractNumId="6">
    <w:nsid w:val="4A08492D"/>
    <w:multiLevelType w:val="multilevel"/>
    <w:tmpl w:val="4A08492D"/>
    <w:lvl w:ilvl="0" w:tentative="0">
      <w:start w:val="1"/>
      <w:numFmt w:val="decimal"/>
      <w:pStyle w:val="219"/>
      <w:suff w:val="nothing"/>
      <w:lvlText w:val="%1——"/>
      <w:lvlJc w:val="left"/>
      <w:pPr>
        <w:ind w:left="833" w:hanging="408"/>
      </w:pPr>
    </w:lvl>
    <w:lvl w:ilvl="1" w:tentative="0">
      <w:start w:val="1"/>
      <w:numFmt w:val="bullet"/>
      <w:pStyle w:val="224"/>
      <w:lvlText w:val=""/>
      <w:lvlJc w:val="left"/>
      <w:pPr>
        <w:tabs>
          <w:tab w:val="left" w:pos="760"/>
        </w:tabs>
        <w:ind w:left="1264" w:hanging="413"/>
      </w:pPr>
      <w:rPr>
        <w:rFonts w:ascii="Symbol" w:hAnsi="Symbol"/>
        <w:color w:val="000000"/>
      </w:rPr>
    </w:lvl>
    <w:lvl w:ilvl="2" w:tentative="0">
      <w:start w:val="1"/>
      <w:numFmt w:val="bullet"/>
      <w:pStyle w:val="230"/>
      <w:lvlText w:val=""/>
      <w:lvlJc w:val="left"/>
      <w:pPr>
        <w:tabs>
          <w:tab w:val="left" w:pos="1678"/>
        </w:tabs>
        <w:ind w:left="1678" w:hanging="414"/>
      </w:pPr>
      <w:rPr>
        <w:rFonts w:ascii="Symbol" w:hAnsi="Symbol"/>
        <w:color w:val="000000"/>
      </w:rPr>
    </w:lvl>
    <w:lvl w:ilvl="3" w:tentative="0">
      <w:start w:val="1"/>
      <w:numFmt w:val="decimal"/>
      <w:lvlText w:val="%4."/>
      <w:lvlJc w:val="left"/>
      <w:pPr>
        <w:tabs>
          <w:tab w:val="left" w:pos="2071"/>
        </w:tabs>
        <w:ind w:left="1884" w:hanging="528"/>
      </w:pPr>
    </w:lvl>
    <w:lvl w:ilvl="4" w:tentative="0">
      <w:start w:val="1"/>
      <w:numFmt w:val="lowerLetter"/>
      <w:lvlText w:val="%5)"/>
      <w:lvlJc w:val="left"/>
      <w:pPr>
        <w:tabs>
          <w:tab w:val="left" w:pos="2383"/>
        </w:tabs>
        <w:ind w:left="2196" w:hanging="528"/>
      </w:pPr>
    </w:lvl>
    <w:lvl w:ilvl="5" w:tentative="0">
      <w:start w:val="1"/>
      <w:numFmt w:val="lowerRoman"/>
      <w:lvlText w:val="%6."/>
      <w:lvlJc w:val="right"/>
      <w:pPr>
        <w:tabs>
          <w:tab w:val="left" w:pos="2695"/>
        </w:tabs>
        <w:ind w:left="2508" w:hanging="528"/>
      </w:pPr>
    </w:lvl>
    <w:lvl w:ilvl="6" w:tentative="0">
      <w:start w:val="1"/>
      <w:numFmt w:val="decimal"/>
      <w:lvlText w:val="%7."/>
      <w:lvlJc w:val="left"/>
      <w:pPr>
        <w:tabs>
          <w:tab w:val="left" w:pos="3007"/>
        </w:tabs>
        <w:ind w:left="2820" w:hanging="528"/>
      </w:pPr>
    </w:lvl>
    <w:lvl w:ilvl="7" w:tentative="0">
      <w:start w:val="1"/>
      <w:numFmt w:val="lowerLetter"/>
      <w:lvlText w:val="%8)"/>
      <w:lvlJc w:val="left"/>
      <w:pPr>
        <w:tabs>
          <w:tab w:val="left" w:pos="3319"/>
        </w:tabs>
        <w:ind w:left="3132" w:hanging="528"/>
      </w:pPr>
    </w:lvl>
    <w:lvl w:ilvl="8" w:tentative="0">
      <w:start w:val="1"/>
      <w:numFmt w:val="lowerRoman"/>
      <w:lvlText w:val="%9."/>
      <w:lvlJc w:val="right"/>
      <w:pPr>
        <w:tabs>
          <w:tab w:val="left" w:pos="3631"/>
        </w:tabs>
        <w:ind w:left="3444" w:hanging="528"/>
      </w:pPr>
    </w:lvl>
  </w:abstractNum>
  <w:abstractNum w:abstractNumId="7">
    <w:nsid w:val="59C358AA"/>
    <w:multiLevelType w:val="multilevel"/>
    <w:tmpl w:val="59C358AA"/>
    <w:lvl w:ilvl="0" w:tentative="0">
      <w:start w:val="1"/>
      <w:numFmt w:val="decimal"/>
      <w:pStyle w:val="222"/>
      <w:suff w:val="nothing"/>
      <w:lvlText w:val="注%1："/>
      <w:lvlJc w:val="left"/>
      <w:pPr>
        <w:ind w:left="811" w:hanging="448"/>
      </w:pPr>
      <w:rPr>
        <w:rFonts w:ascii="仿宋_GB2312" w:eastAsia="仿宋_GB2312"/>
        <w:b w:val="0"/>
        <w:i w:val="0"/>
        <w:sz w:val="24"/>
        <w:szCs w:val="24"/>
        <w:vertAlign w:val="baseline"/>
      </w:rPr>
    </w:lvl>
    <w:lvl w:ilvl="1" w:tentative="0">
      <w:start w:val="1"/>
      <w:numFmt w:val="lowerLetter"/>
      <w:lvlText w:val="%2)"/>
      <w:lvlJc w:val="left"/>
      <w:pPr>
        <w:tabs>
          <w:tab w:val="left" w:pos="180"/>
        </w:tabs>
        <w:ind w:left="1172" w:hanging="629"/>
      </w:pPr>
      <w:rPr>
        <w:vertAlign w:val="baseline"/>
      </w:rPr>
    </w:lvl>
    <w:lvl w:ilvl="2" w:tentative="0">
      <w:start w:val="1"/>
      <w:numFmt w:val="lowerRoman"/>
      <w:lvlText w:val="%3."/>
      <w:lvlJc w:val="right"/>
      <w:pPr>
        <w:tabs>
          <w:tab w:val="left" w:pos="180"/>
        </w:tabs>
        <w:ind w:left="1172" w:hanging="629"/>
      </w:pPr>
      <w:rPr>
        <w:vertAlign w:val="baseline"/>
      </w:rPr>
    </w:lvl>
    <w:lvl w:ilvl="3" w:tentative="0">
      <w:start w:val="1"/>
      <w:numFmt w:val="decimal"/>
      <w:lvlText w:val="%4."/>
      <w:lvlJc w:val="left"/>
      <w:pPr>
        <w:tabs>
          <w:tab w:val="left" w:pos="180"/>
        </w:tabs>
        <w:ind w:left="1172" w:hanging="629"/>
      </w:pPr>
      <w:rPr>
        <w:vertAlign w:val="baseline"/>
      </w:rPr>
    </w:lvl>
    <w:lvl w:ilvl="4" w:tentative="0">
      <w:start w:val="1"/>
      <w:numFmt w:val="lowerLetter"/>
      <w:lvlText w:val="%5)"/>
      <w:lvlJc w:val="left"/>
      <w:pPr>
        <w:tabs>
          <w:tab w:val="left" w:pos="180"/>
        </w:tabs>
        <w:ind w:left="1172" w:hanging="629"/>
      </w:pPr>
      <w:rPr>
        <w:vertAlign w:val="baseline"/>
      </w:rPr>
    </w:lvl>
    <w:lvl w:ilvl="5" w:tentative="0">
      <w:start w:val="1"/>
      <w:numFmt w:val="lowerRoman"/>
      <w:lvlText w:val="%6."/>
      <w:lvlJc w:val="right"/>
      <w:pPr>
        <w:tabs>
          <w:tab w:val="left" w:pos="180"/>
        </w:tabs>
        <w:ind w:left="1172" w:hanging="629"/>
      </w:pPr>
      <w:rPr>
        <w:vertAlign w:val="baseline"/>
      </w:rPr>
    </w:lvl>
    <w:lvl w:ilvl="6" w:tentative="0">
      <w:start w:val="1"/>
      <w:numFmt w:val="decimal"/>
      <w:lvlText w:val="%7."/>
      <w:lvlJc w:val="left"/>
      <w:pPr>
        <w:tabs>
          <w:tab w:val="left" w:pos="180"/>
        </w:tabs>
        <w:ind w:left="1172" w:hanging="629"/>
      </w:pPr>
      <w:rPr>
        <w:vertAlign w:val="baseline"/>
      </w:rPr>
    </w:lvl>
    <w:lvl w:ilvl="7" w:tentative="0">
      <w:start w:val="1"/>
      <w:numFmt w:val="lowerLetter"/>
      <w:lvlText w:val="%8)"/>
      <w:lvlJc w:val="left"/>
      <w:pPr>
        <w:tabs>
          <w:tab w:val="left" w:pos="180"/>
        </w:tabs>
        <w:ind w:left="1172" w:hanging="629"/>
      </w:pPr>
      <w:rPr>
        <w:vertAlign w:val="baseline"/>
      </w:rPr>
    </w:lvl>
    <w:lvl w:ilvl="8" w:tentative="0">
      <w:start w:val="1"/>
      <w:numFmt w:val="lowerRoman"/>
      <w:lvlText w:val="%9."/>
      <w:lvlJc w:val="right"/>
      <w:pPr>
        <w:tabs>
          <w:tab w:val="left" w:pos="180"/>
        </w:tabs>
        <w:ind w:left="1172" w:hanging="629"/>
      </w:pPr>
      <w:rPr>
        <w:vertAlign w:val="baseline"/>
      </w:rPr>
    </w:lvl>
  </w:abstractNum>
  <w:num w:numId="1">
    <w:abstractNumId w:val="0"/>
  </w:num>
  <w:num w:numId="2">
    <w:abstractNumId w:val="1"/>
  </w:num>
  <w:num w:numId="3">
    <w:abstractNumId w:val="3"/>
  </w:num>
  <w:num w:numId="4">
    <w:abstractNumId w:val="6"/>
  </w:num>
  <w:num w:numId="5">
    <w:abstractNumId w:val="7"/>
  </w:num>
  <w:num w:numId="6">
    <w:abstractNumId w:val="5"/>
  </w:num>
  <w:num w:numId="7">
    <w:abstractNumId w:val="4"/>
  </w:num>
  <w:num w:numId="8">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叶李廷">
    <w15:presenceInfo w15:providerId="WPS Office" w15:userId="3919510774"/>
  </w15:person>
  <w15:person w15:author="余宇劲">
    <w15:presenceInfo w15:providerId="WPS Office" w15:userId="68728455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NotTrackMoves/>
  <w:revisionView w:markup="0"/>
  <w:documentProtection w:enforcement="0"/>
  <w:defaultTabStop w:val="420"/>
  <w:characterSpacingControl w:val="compressPunctuation"/>
  <w:compat>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D75"/>
    <w:rsid w:val="000711CF"/>
    <w:rsid w:val="000D385E"/>
    <w:rsid w:val="00193991"/>
    <w:rsid w:val="001C6F66"/>
    <w:rsid w:val="001E0D75"/>
    <w:rsid w:val="00230A83"/>
    <w:rsid w:val="003C129B"/>
    <w:rsid w:val="00464DF4"/>
    <w:rsid w:val="00546D47"/>
    <w:rsid w:val="0058004F"/>
    <w:rsid w:val="00590DDB"/>
    <w:rsid w:val="00660B3D"/>
    <w:rsid w:val="00691B26"/>
    <w:rsid w:val="006F5279"/>
    <w:rsid w:val="00726240"/>
    <w:rsid w:val="007624D6"/>
    <w:rsid w:val="00781076"/>
    <w:rsid w:val="00872187"/>
    <w:rsid w:val="009D2A83"/>
    <w:rsid w:val="00DF66E7"/>
    <w:rsid w:val="00F36E2F"/>
    <w:rsid w:val="00F54338"/>
    <w:rsid w:val="00F61F15"/>
    <w:rsid w:val="00FA7ED6"/>
    <w:rsid w:val="046637B7"/>
    <w:rsid w:val="08354784"/>
    <w:rsid w:val="0A9B5AEF"/>
    <w:rsid w:val="0AE721F9"/>
    <w:rsid w:val="0D9F28E9"/>
    <w:rsid w:val="12557C5B"/>
    <w:rsid w:val="14A81C82"/>
    <w:rsid w:val="1A2C531A"/>
    <w:rsid w:val="1C9F6AE6"/>
    <w:rsid w:val="1CCC66C9"/>
    <w:rsid w:val="1D53659C"/>
    <w:rsid w:val="2199546C"/>
    <w:rsid w:val="235B4A55"/>
    <w:rsid w:val="2B1706E4"/>
    <w:rsid w:val="313348D4"/>
    <w:rsid w:val="3F724729"/>
    <w:rsid w:val="429044CF"/>
    <w:rsid w:val="442B731A"/>
    <w:rsid w:val="445E32F8"/>
    <w:rsid w:val="46FA6D59"/>
    <w:rsid w:val="4AD276B2"/>
    <w:rsid w:val="4DAB57AE"/>
    <w:rsid w:val="56921BF3"/>
    <w:rsid w:val="67C07F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nhideWhenUsed="0" w:uiPriority="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qFormat="1" w:unhideWhenUsed="0" w:uiPriority="0"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sz w:val="21"/>
      <w:lang w:val="en-US" w:eastAsia="zh-CN" w:bidi="ar-SA"/>
    </w:rPr>
  </w:style>
  <w:style w:type="paragraph" w:styleId="2">
    <w:name w:val="heading 1"/>
    <w:basedOn w:val="1"/>
    <w:next w:val="1"/>
    <w:link w:val="196"/>
    <w:qFormat/>
    <w:uiPriority w:val="0"/>
    <w:pPr>
      <w:keepNext/>
      <w:keepLines/>
      <w:spacing w:before="340" w:after="330" w:line="578" w:lineRule="auto"/>
      <w:outlineLvl w:val="0"/>
    </w:pPr>
    <w:rPr>
      <w:b/>
      <w:bCs/>
      <w:sz w:val="32"/>
      <w:szCs w:val="44"/>
    </w:rPr>
  </w:style>
  <w:style w:type="paragraph" w:styleId="3">
    <w:name w:val="heading 2"/>
    <w:basedOn w:val="1"/>
    <w:next w:val="1"/>
    <w:link w:val="48"/>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49"/>
    <w:qFormat/>
    <w:uiPriority w:val="0"/>
    <w:pPr>
      <w:keepNext/>
      <w:keepLines/>
      <w:widowControl/>
      <w:spacing w:before="260" w:after="260" w:line="416" w:lineRule="auto"/>
      <w:jc w:val="left"/>
      <w:outlineLvl w:val="2"/>
    </w:pPr>
    <w:rPr>
      <w:b/>
      <w:bCs/>
      <w:sz w:val="24"/>
      <w:szCs w:val="32"/>
    </w:rPr>
  </w:style>
  <w:style w:type="paragraph" w:styleId="5">
    <w:name w:val="heading 4"/>
    <w:basedOn w:val="1"/>
    <w:next w:val="1"/>
    <w:link w:val="197"/>
    <w:qFormat/>
    <w:uiPriority w:val="0"/>
    <w:pPr>
      <w:keepNext/>
      <w:keepLines/>
      <w:widowControl/>
      <w:spacing w:before="280" w:after="290" w:line="376" w:lineRule="auto"/>
      <w:jc w:val="left"/>
      <w:outlineLvl w:val="3"/>
    </w:pPr>
    <w:rPr>
      <w:rFonts w:ascii="Arial" w:hAnsi="Arial" w:eastAsia="黑体"/>
      <w:b/>
      <w:bCs/>
      <w:sz w:val="28"/>
      <w:szCs w:val="28"/>
    </w:rPr>
  </w:style>
  <w:style w:type="paragraph" w:styleId="6">
    <w:name w:val="heading 5"/>
    <w:basedOn w:val="1"/>
    <w:next w:val="1"/>
    <w:link w:val="51"/>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link w:val="52"/>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53"/>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54"/>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55"/>
    <w:unhideWhenUsed/>
    <w:qFormat/>
    <w:uiPriority w:val="9"/>
    <w:pPr>
      <w:keepNext/>
      <w:keepLines/>
      <w:spacing w:before="320" w:after="200"/>
      <w:outlineLvl w:val="8"/>
    </w:pPr>
    <w:rPr>
      <w:rFonts w:ascii="Arial" w:hAnsi="Arial" w:eastAsia="Arial" w:cs="Arial"/>
      <w:i/>
      <w:iCs/>
      <w:szCs w:val="21"/>
    </w:rPr>
  </w:style>
  <w:style w:type="character" w:default="1" w:styleId="39">
    <w:name w:val="Default Paragraph Font"/>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pPr>
  </w:style>
  <w:style w:type="paragraph" w:styleId="12">
    <w:name w:val="Normal Indent"/>
    <w:basedOn w:val="1"/>
    <w:link w:val="204"/>
    <w:qFormat/>
    <w:uiPriority w:val="0"/>
    <w:pPr>
      <w:autoSpaceDE w:val="0"/>
      <w:autoSpaceDN w:val="0"/>
      <w:spacing w:line="360" w:lineRule="auto"/>
      <w:ind w:left="181" w:firstLine="420"/>
    </w:pPr>
    <w:rPr>
      <w:sz w:val="24"/>
    </w:rPr>
  </w:style>
  <w:style w:type="paragraph" w:styleId="13">
    <w:name w:val="caption"/>
    <w:basedOn w:val="1"/>
    <w:next w:val="1"/>
    <w:semiHidden/>
    <w:unhideWhenUsed/>
    <w:qFormat/>
    <w:uiPriority w:val="35"/>
    <w:pPr>
      <w:spacing w:line="276" w:lineRule="auto"/>
    </w:pPr>
    <w:rPr>
      <w:b/>
      <w:bCs/>
      <w:color w:val="4F81BD"/>
      <w:sz w:val="18"/>
      <w:szCs w:val="18"/>
    </w:rPr>
  </w:style>
  <w:style w:type="paragraph" w:styleId="14">
    <w:name w:val="Document Map"/>
    <w:basedOn w:val="1"/>
    <w:link w:val="198"/>
    <w:qFormat/>
    <w:uiPriority w:val="0"/>
    <w:rPr>
      <w:rFonts w:ascii="宋体"/>
      <w:sz w:val="18"/>
      <w:szCs w:val="18"/>
    </w:rPr>
  </w:style>
  <w:style w:type="paragraph" w:styleId="15">
    <w:name w:val="annotation text"/>
    <w:basedOn w:val="1"/>
    <w:link w:val="199"/>
    <w:semiHidden/>
    <w:qFormat/>
    <w:uiPriority w:val="0"/>
    <w:pPr>
      <w:jc w:val="left"/>
    </w:pPr>
  </w:style>
  <w:style w:type="paragraph" w:styleId="16">
    <w:name w:val="Body Text"/>
    <w:basedOn w:val="1"/>
    <w:link w:val="200"/>
    <w:qFormat/>
    <w:uiPriority w:val="0"/>
    <w:pPr>
      <w:widowControl/>
      <w:spacing w:after="120"/>
      <w:jc w:val="left"/>
    </w:pPr>
  </w:style>
  <w:style w:type="paragraph" w:styleId="17">
    <w:name w:val="toc 5"/>
    <w:basedOn w:val="1"/>
    <w:next w:val="1"/>
    <w:unhideWhenUsed/>
    <w:qFormat/>
    <w:uiPriority w:val="39"/>
    <w:pPr>
      <w:spacing w:after="57"/>
      <w:ind w:left="1134"/>
    </w:pPr>
  </w:style>
  <w:style w:type="paragraph" w:styleId="18">
    <w:name w:val="toc 3"/>
    <w:basedOn w:val="1"/>
    <w:next w:val="1"/>
    <w:unhideWhenUsed/>
    <w:qFormat/>
    <w:uiPriority w:val="39"/>
    <w:pPr>
      <w:spacing w:after="57"/>
      <w:ind w:left="567"/>
    </w:pPr>
  </w:style>
  <w:style w:type="paragraph" w:styleId="19">
    <w:name w:val="Plain Text"/>
    <w:basedOn w:val="1"/>
    <w:qFormat/>
    <w:uiPriority w:val="0"/>
    <w:rPr>
      <w:rFonts w:ascii="宋体" w:hAnsi="Courier New"/>
      <w:szCs w:val="21"/>
    </w:rPr>
  </w:style>
  <w:style w:type="paragraph" w:styleId="20">
    <w:name w:val="toc 8"/>
    <w:basedOn w:val="1"/>
    <w:next w:val="1"/>
    <w:unhideWhenUsed/>
    <w:qFormat/>
    <w:uiPriority w:val="39"/>
    <w:pPr>
      <w:spacing w:after="57"/>
      <w:ind w:left="1984"/>
    </w:pPr>
  </w:style>
  <w:style w:type="paragraph" w:styleId="21">
    <w:name w:val="Body Text Indent 2"/>
    <w:basedOn w:val="1"/>
    <w:link w:val="201"/>
    <w:qFormat/>
    <w:uiPriority w:val="0"/>
    <w:pPr>
      <w:spacing w:after="120" w:line="480" w:lineRule="auto"/>
      <w:ind w:left="420" w:leftChars="200"/>
    </w:pPr>
  </w:style>
  <w:style w:type="paragraph" w:styleId="22">
    <w:name w:val="endnote text"/>
    <w:basedOn w:val="1"/>
    <w:link w:val="193"/>
    <w:semiHidden/>
    <w:unhideWhenUsed/>
    <w:qFormat/>
    <w:uiPriority w:val="99"/>
    <w:rPr>
      <w:sz w:val="20"/>
    </w:rPr>
  </w:style>
  <w:style w:type="paragraph" w:styleId="23">
    <w:name w:val="Balloon Text"/>
    <w:basedOn w:val="1"/>
    <w:semiHidden/>
    <w:qFormat/>
    <w:uiPriority w:val="0"/>
    <w:rPr>
      <w:sz w:val="18"/>
      <w:szCs w:val="18"/>
    </w:rPr>
  </w:style>
  <w:style w:type="paragraph" w:styleId="24">
    <w:name w:val="footer"/>
    <w:basedOn w:val="1"/>
    <w:link w:val="66"/>
    <w:qFormat/>
    <w:uiPriority w:val="0"/>
    <w:pPr>
      <w:tabs>
        <w:tab w:val="center" w:pos="4153"/>
        <w:tab w:val="right" w:pos="8306"/>
      </w:tabs>
      <w:snapToGrid w:val="0"/>
      <w:jc w:val="left"/>
    </w:pPr>
    <w:rPr>
      <w:sz w:val="18"/>
      <w:szCs w:val="18"/>
    </w:rPr>
  </w:style>
  <w:style w:type="paragraph" w:styleId="25">
    <w:name w:val="header"/>
    <w:basedOn w:val="1"/>
    <w:link w:val="64"/>
    <w:qFormat/>
    <w:uiPriority w:val="0"/>
    <w:pPr>
      <w:pBdr>
        <w:bottom w:val="single" w:color="000000" w:sz="6" w:space="1"/>
      </w:pBdr>
      <w:tabs>
        <w:tab w:val="center" w:pos="4153"/>
        <w:tab w:val="right" w:pos="8306"/>
      </w:tabs>
      <w:snapToGrid w:val="0"/>
      <w:jc w:val="center"/>
    </w:pPr>
    <w:rPr>
      <w:sz w:val="18"/>
      <w:szCs w:val="18"/>
    </w:rPr>
  </w:style>
  <w:style w:type="paragraph" w:styleId="26">
    <w:name w:val="toc 1"/>
    <w:basedOn w:val="1"/>
    <w:next w:val="1"/>
    <w:unhideWhenUsed/>
    <w:qFormat/>
    <w:uiPriority w:val="39"/>
    <w:pPr>
      <w:spacing w:after="57"/>
    </w:pPr>
  </w:style>
  <w:style w:type="paragraph" w:styleId="27">
    <w:name w:val="toc 4"/>
    <w:basedOn w:val="1"/>
    <w:next w:val="1"/>
    <w:unhideWhenUsed/>
    <w:qFormat/>
    <w:uiPriority w:val="39"/>
    <w:pPr>
      <w:spacing w:after="57"/>
      <w:ind w:left="850"/>
    </w:pPr>
  </w:style>
  <w:style w:type="paragraph" w:styleId="28">
    <w:name w:val="Subtitle"/>
    <w:basedOn w:val="1"/>
    <w:next w:val="1"/>
    <w:link w:val="59"/>
    <w:qFormat/>
    <w:uiPriority w:val="11"/>
    <w:pPr>
      <w:spacing w:before="200" w:after="200"/>
    </w:pPr>
    <w:rPr>
      <w:sz w:val="24"/>
      <w:szCs w:val="24"/>
    </w:rPr>
  </w:style>
  <w:style w:type="paragraph" w:styleId="29">
    <w:name w:val="footnote text"/>
    <w:basedOn w:val="1"/>
    <w:link w:val="192"/>
    <w:semiHidden/>
    <w:unhideWhenUsed/>
    <w:qFormat/>
    <w:uiPriority w:val="99"/>
    <w:pPr>
      <w:spacing w:after="40"/>
    </w:pPr>
    <w:rPr>
      <w:sz w:val="18"/>
    </w:rPr>
  </w:style>
  <w:style w:type="paragraph" w:styleId="30">
    <w:name w:val="toc 6"/>
    <w:basedOn w:val="1"/>
    <w:next w:val="1"/>
    <w:unhideWhenUsed/>
    <w:qFormat/>
    <w:uiPriority w:val="39"/>
    <w:pPr>
      <w:spacing w:after="57"/>
      <w:ind w:left="1417"/>
    </w:pPr>
  </w:style>
  <w:style w:type="paragraph" w:styleId="31">
    <w:name w:val="table of figures"/>
    <w:basedOn w:val="1"/>
    <w:next w:val="1"/>
    <w:unhideWhenUsed/>
    <w:qFormat/>
    <w:uiPriority w:val="99"/>
  </w:style>
  <w:style w:type="paragraph" w:styleId="32">
    <w:name w:val="toc 2"/>
    <w:basedOn w:val="1"/>
    <w:next w:val="1"/>
    <w:unhideWhenUsed/>
    <w:qFormat/>
    <w:uiPriority w:val="39"/>
    <w:pPr>
      <w:spacing w:after="57"/>
      <w:ind w:left="283"/>
    </w:pPr>
  </w:style>
  <w:style w:type="paragraph" w:styleId="33">
    <w:name w:val="toc 9"/>
    <w:basedOn w:val="1"/>
    <w:next w:val="1"/>
    <w:unhideWhenUsed/>
    <w:qFormat/>
    <w:uiPriority w:val="39"/>
    <w:pPr>
      <w:spacing w:after="57"/>
      <w:ind w:left="2268"/>
    </w:pPr>
  </w:style>
  <w:style w:type="paragraph" w:styleId="34">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sz w:val="24"/>
    </w:rPr>
  </w:style>
  <w:style w:type="paragraph" w:styleId="35">
    <w:name w:val="Title"/>
    <w:basedOn w:val="1"/>
    <w:next w:val="1"/>
    <w:link w:val="58"/>
    <w:qFormat/>
    <w:uiPriority w:val="10"/>
    <w:pPr>
      <w:spacing w:before="300" w:after="200"/>
      <w:contextualSpacing/>
    </w:pPr>
    <w:rPr>
      <w:sz w:val="48"/>
      <w:szCs w:val="48"/>
    </w:rPr>
  </w:style>
  <w:style w:type="paragraph" w:styleId="36">
    <w:name w:val="annotation subject"/>
    <w:basedOn w:val="15"/>
    <w:next w:val="15"/>
    <w:semiHidden/>
    <w:qFormat/>
    <w:uiPriority w:val="0"/>
    <w:rPr>
      <w:b/>
      <w:bCs/>
    </w:rPr>
  </w:style>
  <w:style w:type="table" w:styleId="38">
    <w:name w:val="Table Grid"/>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40">
    <w:name w:val="Strong"/>
    <w:qFormat/>
    <w:uiPriority w:val="0"/>
    <w:rPr>
      <w:b/>
      <w:bCs/>
    </w:rPr>
  </w:style>
  <w:style w:type="character" w:styleId="41">
    <w:name w:val="endnote reference"/>
    <w:semiHidden/>
    <w:unhideWhenUsed/>
    <w:qFormat/>
    <w:uiPriority w:val="99"/>
    <w:rPr>
      <w:vertAlign w:val="superscript"/>
    </w:rPr>
  </w:style>
  <w:style w:type="character" w:styleId="42">
    <w:name w:val="page number"/>
    <w:qFormat/>
    <w:uiPriority w:val="0"/>
  </w:style>
  <w:style w:type="character" w:styleId="43">
    <w:name w:val="Emphasis"/>
    <w:qFormat/>
    <w:uiPriority w:val="0"/>
    <w:rPr>
      <w:i/>
      <w:iCs/>
    </w:rPr>
  </w:style>
  <w:style w:type="character" w:styleId="44">
    <w:name w:val="Hyperlink"/>
    <w:qFormat/>
    <w:uiPriority w:val="0"/>
    <w:rPr>
      <w:color w:val="2D64B3"/>
      <w:u w:val="none"/>
    </w:rPr>
  </w:style>
  <w:style w:type="character" w:styleId="45">
    <w:name w:val="annotation reference"/>
    <w:semiHidden/>
    <w:qFormat/>
    <w:uiPriority w:val="0"/>
    <w:rPr>
      <w:sz w:val="21"/>
      <w:szCs w:val="21"/>
    </w:rPr>
  </w:style>
  <w:style w:type="character" w:styleId="46">
    <w:name w:val="footnote reference"/>
    <w:unhideWhenUsed/>
    <w:qFormat/>
    <w:uiPriority w:val="99"/>
    <w:rPr>
      <w:vertAlign w:val="superscript"/>
    </w:rPr>
  </w:style>
  <w:style w:type="character" w:customStyle="1" w:styleId="47">
    <w:name w:val="Heading 1 Char"/>
    <w:qFormat/>
    <w:uiPriority w:val="9"/>
    <w:rPr>
      <w:rFonts w:ascii="Arial" w:hAnsi="Arial" w:eastAsia="Arial" w:cs="Arial"/>
      <w:sz w:val="40"/>
      <w:szCs w:val="40"/>
    </w:rPr>
  </w:style>
  <w:style w:type="character" w:customStyle="1" w:styleId="48">
    <w:name w:val="标题 2 字符"/>
    <w:link w:val="3"/>
    <w:qFormat/>
    <w:uiPriority w:val="9"/>
    <w:rPr>
      <w:rFonts w:ascii="Arial" w:hAnsi="Arial" w:eastAsia="Arial" w:cs="Arial"/>
      <w:sz w:val="34"/>
    </w:rPr>
  </w:style>
  <w:style w:type="character" w:customStyle="1" w:styleId="49">
    <w:name w:val="标题 3 字符"/>
    <w:link w:val="4"/>
    <w:qFormat/>
    <w:uiPriority w:val="9"/>
    <w:rPr>
      <w:rFonts w:ascii="Arial" w:hAnsi="Arial" w:eastAsia="Arial" w:cs="Arial"/>
      <w:sz w:val="30"/>
      <w:szCs w:val="30"/>
    </w:rPr>
  </w:style>
  <w:style w:type="character" w:customStyle="1" w:styleId="50">
    <w:name w:val="Heading 4 Char"/>
    <w:qFormat/>
    <w:uiPriority w:val="9"/>
    <w:rPr>
      <w:rFonts w:ascii="Arial" w:hAnsi="Arial" w:eastAsia="Arial" w:cs="Arial"/>
      <w:b/>
      <w:bCs/>
      <w:sz w:val="26"/>
      <w:szCs w:val="26"/>
    </w:rPr>
  </w:style>
  <w:style w:type="character" w:customStyle="1" w:styleId="51">
    <w:name w:val="标题 5 字符"/>
    <w:link w:val="6"/>
    <w:qFormat/>
    <w:uiPriority w:val="9"/>
    <w:rPr>
      <w:rFonts w:ascii="Arial" w:hAnsi="Arial" w:eastAsia="Arial" w:cs="Arial"/>
      <w:b/>
      <w:bCs/>
      <w:sz w:val="24"/>
      <w:szCs w:val="24"/>
    </w:rPr>
  </w:style>
  <w:style w:type="character" w:customStyle="1" w:styleId="52">
    <w:name w:val="标题 6 字符"/>
    <w:link w:val="7"/>
    <w:qFormat/>
    <w:uiPriority w:val="9"/>
    <w:rPr>
      <w:rFonts w:ascii="Arial" w:hAnsi="Arial" w:eastAsia="Arial" w:cs="Arial"/>
      <w:b/>
      <w:bCs/>
      <w:sz w:val="22"/>
      <w:szCs w:val="22"/>
    </w:rPr>
  </w:style>
  <w:style w:type="character" w:customStyle="1" w:styleId="53">
    <w:name w:val="标题 7 字符"/>
    <w:link w:val="8"/>
    <w:qFormat/>
    <w:uiPriority w:val="9"/>
    <w:rPr>
      <w:rFonts w:ascii="Arial" w:hAnsi="Arial" w:eastAsia="Arial" w:cs="Arial"/>
      <w:b/>
      <w:bCs/>
      <w:i/>
      <w:iCs/>
      <w:sz w:val="22"/>
      <w:szCs w:val="22"/>
    </w:rPr>
  </w:style>
  <w:style w:type="character" w:customStyle="1" w:styleId="54">
    <w:name w:val="标题 8 字符"/>
    <w:link w:val="9"/>
    <w:qFormat/>
    <w:uiPriority w:val="9"/>
    <w:rPr>
      <w:rFonts w:ascii="Arial" w:hAnsi="Arial" w:eastAsia="Arial" w:cs="Arial"/>
      <w:i/>
      <w:iCs/>
      <w:sz w:val="22"/>
      <w:szCs w:val="22"/>
    </w:rPr>
  </w:style>
  <w:style w:type="character" w:customStyle="1" w:styleId="55">
    <w:name w:val="标题 9 字符"/>
    <w:link w:val="10"/>
    <w:qFormat/>
    <w:uiPriority w:val="9"/>
    <w:rPr>
      <w:rFonts w:ascii="Arial" w:hAnsi="Arial" w:eastAsia="Arial" w:cs="Arial"/>
      <w:i/>
      <w:iCs/>
      <w:sz w:val="21"/>
      <w:szCs w:val="21"/>
    </w:rPr>
  </w:style>
  <w:style w:type="paragraph" w:styleId="56">
    <w:name w:val="No Spacing"/>
    <w:basedOn w:val="57"/>
    <w:qFormat/>
    <w:uiPriority w:val="0"/>
    <w:pPr>
      <w:spacing w:line="360" w:lineRule="auto"/>
      <w:ind w:firstLine="0" w:firstLineChars="0"/>
    </w:pPr>
    <w:rPr>
      <w:rFonts w:ascii="仿宋" w:hAnsi="仿宋" w:eastAsia="仿宋"/>
      <w:sz w:val="24"/>
    </w:rPr>
  </w:style>
  <w:style w:type="paragraph" w:customStyle="1" w:styleId="57">
    <w:name w:val="列出段落"/>
    <w:basedOn w:val="1"/>
    <w:qFormat/>
    <w:uiPriority w:val="0"/>
    <w:pPr>
      <w:ind w:firstLine="420" w:firstLineChars="200"/>
    </w:pPr>
  </w:style>
  <w:style w:type="character" w:customStyle="1" w:styleId="58">
    <w:name w:val="标题 字符"/>
    <w:link w:val="35"/>
    <w:qFormat/>
    <w:uiPriority w:val="10"/>
    <w:rPr>
      <w:sz w:val="48"/>
      <w:szCs w:val="48"/>
    </w:rPr>
  </w:style>
  <w:style w:type="character" w:customStyle="1" w:styleId="59">
    <w:name w:val="副标题 字符"/>
    <w:link w:val="28"/>
    <w:qFormat/>
    <w:uiPriority w:val="11"/>
    <w:rPr>
      <w:sz w:val="24"/>
      <w:szCs w:val="24"/>
    </w:rPr>
  </w:style>
  <w:style w:type="paragraph" w:styleId="60">
    <w:name w:val="Quote"/>
    <w:basedOn w:val="1"/>
    <w:next w:val="1"/>
    <w:link w:val="61"/>
    <w:qFormat/>
    <w:uiPriority w:val="29"/>
    <w:pPr>
      <w:ind w:left="720" w:right="720"/>
    </w:pPr>
    <w:rPr>
      <w:i/>
    </w:rPr>
  </w:style>
  <w:style w:type="character" w:customStyle="1" w:styleId="61">
    <w:name w:val="引用 字符"/>
    <w:link w:val="60"/>
    <w:qFormat/>
    <w:uiPriority w:val="29"/>
    <w:rPr>
      <w:i/>
    </w:rPr>
  </w:style>
  <w:style w:type="paragraph" w:styleId="62">
    <w:name w:val="Intense Quote"/>
    <w:basedOn w:val="1"/>
    <w:next w:val="1"/>
    <w:link w:val="63"/>
    <w:qFormat/>
    <w:uiPriority w:val="30"/>
    <w:pPr>
      <w:pBdr>
        <w:top w:val="single" w:color="FFFFFF" w:sz="4" w:space="5"/>
        <w:left w:val="single" w:color="FFFFFF" w:sz="4" w:space="10"/>
        <w:bottom w:val="single" w:color="FFFFFF" w:sz="4" w:space="5"/>
        <w:right w:val="single" w:color="FFFFFF" w:sz="4" w:space="10"/>
      </w:pBdr>
      <w:shd w:val="clear" w:color="F2F2F2" w:fill="F2F2F2"/>
      <w:ind w:left="720" w:right="720"/>
    </w:pPr>
    <w:rPr>
      <w:i/>
    </w:rPr>
  </w:style>
  <w:style w:type="character" w:customStyle="1" w:styleId="63">
    <w:name w:val="明显引用 字符"/>
    <w:link w:val="62"/>
    <w:qFormat/>
    <w:uiPriority w:val="30"/>
    <w:rPr>
      <w:i/>
    </w:rPr>
  </w:style>
  <w:style w:type="character" w:customStyle="1" w:styleId="64">
    <w:name w:val="页眉 字符"/>
    <w:link w:val="25"/>
    <w:qFormat/>
    <w:uiPriority w:val="99"/>
  </w:style>
  <w:style w:type="character" w:customStyle="1" w:styleId="65">
    <w:name w:val="Footer Char"/>
    <w:qFormat/>
    <w:uiPriority w:val="99"/>
  </w:style>
  <w:style w:type="character" w:customStyle="1" w:styleId="66">
    <w:name w:val="页脚 字符"/>
    <w:link w:val="24"/>
    <w:qFormat/>
    <w:uiPriority w:val="99"/>
  </w:style>
  <w:style w:type="table" w:customStyle="1" w:styleId="67">
    <w:name w:val="Table Grid Light"/>
    <w:qFormat/>
    <w:uiPriority w:val="59"/>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top w:w="0" w:type="dxa"/>
        <w:left w:w="108" w:type="dxa"/>
        <w:bottom w:w="0" w:type="dxa"/>
        <w:right w:w="108" w:type="dxa"/>
      </w:tblCellMar>
    </w:tblPr>
  </w:style>
  <w:style w:type="table" w:customStyle="1" w:styleId="68">
    <w:name w:val="无格式表格 11"/>
    <w:qFormat/>
    <w:uiPriority w:val="59"/>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top w:w="0" w:type="dxa"/>
        <w:left w:w="108" w:type="dxa"/>
        <w:bottom w:w="0" w:type="dxa"/>
        <w:right w:w="108" w:type="dxa"/>
      </w:tblCellMar>
    </w:tblPr>
  </w:style>
  <w:style w:type="table" w:customStyle="1" w:styleId="69">
    <w:name w:val="无格式表格 21"/>
    <w:qFormat/>
    <w:uiPriority w:val="59"/>
    <w:tblPr>
      <w:tblBorders>
        <w:top w:val="single" w:color="000000" w:sz="4" w:space="0"/>
        <w:left w:val="none" w:color="000000" w:sz="4" w:space="0"/>
        <w:bottom w:val="single" w:color="000000" w:sz="4" w:space="0"/>
        <w:right w:val="none" w:color="000000" w:sz="4" w:space="0"/>
      </w:tblBorders>
      <w:tblCellMar>
        <w:top w:w="0" w:type="dxa"/>
        <w:left w:w="108" w:type="dxa"/>
        <w:bottom w:w="0" w:type="dxa"/>
        <w:right w:w="108" w:type="dxa"/>
      </w:tblCellMar>
    </w:tblPr>
  </w:style>
  <w:style w:type="table" w:customStyle="1" w:styleId="70">
    <w:name w:val="无格式表格 31"/>
    <w:qFormat/>
    <w:uiPriority w:val="99"/>
    <w:tblPr>
      <w:tblCellMar>
        <w:top w:w="0" w:type="dxa"/>
        <w:left w:w="0" w:type="dxa"/>
        <w:bottom w:w="0" w:type="dxa"/>
        <w:right w:w="0" w:type="dxa"/>
      </w:tblCellMar>
    </w:tblPr>
  </w:style>
  <w:style w:type="table" w:customStyle="1" w:styleId="71">
    <w:name w:val="无格式表格 41"/>
    <w:qFormat/>
    <w:uiPriority w:val="99"/>
    <w:tblPr>
      <w:tblCellMar>
        <w:top w:w="0" w:type="dxa"/>
        <w:left w:w="0" w:type="dxa"/>
        <w:bottom w:w="0" w:type="dxa"/>
        <w:right w:w="0" w:type="dxa"/>
      </w:tblCellMar>
    </w:tblPr>
  </w:style>
  <w:style w:type="table" w:customStyle="1" w:styleId="72">
    <w:name w:val="无格式表格 51"/>
    <w:qFormat/>
    <w:uiPriority w:val="99"/>
    <w:tblPr>
      <w:tblCellMar>
        <w:top w:w="0" w:type="dxa"/>
        <w:left w:w="0" w:type="dxa"/>
        <w:bottom w:w="0" w:type="dxa"/>
        <w:right w:w="0" w:type="dxa"/>
      </w:tblCellMar>
    </w:tblPr>
  </w:style>
  <w:style w:type="table" w:customStyle="1" w:styleId="73">
    <w:name w:val="网格表 1 浅色1"/>
    <w:qFormat/>
    <w:uiPriority w:val="99"/>
    <w:tblPr>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CellMar>
        <w:top w:w="0" w:type="dxa"/>
        <w:left w:w="0" w:type="dxa"/>
        <w:bottom w:w="0" w:type="dxa"/>
        <w:right w:w="0" w:type="dxa"/>
      </w:tblCellMar>
    </w:tblPr>
  </w:style>
  <w:style w:type="table" w:customStyle="1" w:styleId="74">
    <w:name w:val="Grid Table 1 Light - Accent 1"/>
    <w:qFormat/>
    <w:uiPriority w:val="99"/>
    <w:tblPr>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top w:w="0" w:type="dxa"/>
        <w:left w:w="0" w:type="dxa"/>
        <w:bottom w:w="0" w:type="dxa"/>
        <w:right w:w="0" w:type="dxa"/>
      </w:tblCellMar>
    </w:tblPr>
  </w:style>
  <w:style w:type="table" w:customStyle="1" w:styleId="75">
    <w:name w:val="Grid Table 1 Light - Accent 2"/>
    <w:qFormat/>
    <w:uiPriority w:val="99"/>
    <w:tblPr>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top w:w="0" w:type="dxa"/>
        <w:left w:w="0" w:type="dxa"/>
        <w:bottom w:w="0" w:type="dxa"/>
        <w:right w:w="0" w:type="dxa"/>
      </w:tblCellMar>
    </w:tblPr>
  </w:style>
  <w:style w:type="table" w:customStyle="1" w:styleId="76">
    <w:name w:val="Grid Table 1 Light - Accent 3"/>
    <w:qFormat/>
    <w:uiPriority w:val="99"/>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top w:w="0" w:type="dxa"/>
        <w:left w:w="0" w:type="dxa"/>
        <w:bottom w:w="0" w:type="dxa"/>
        <w:right w:w="0" w:type="dxa"/>
      </w:tblCellMar>
    </w:tblPr>
  </w:style>
  <w:style w:type="table" w:customStyle="1" w:styleId="77">
    <w:name w:val="Grid Table 1 Light - Accent 4"/>
    <w:qFormat/>
    <w:uiPriority w:val="99"/>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top w:w="0" w:type="dxa"/>
        <w:left w:w="0" w:type="dxa"/>
        <w:bottom w:w="0" w:type="dxa"/>
        <w:right w:w="0" w:type="dxa"/>
      </w:tblCellMar>
    </w:tblPr>
  </w:style>
  <w:style w:type="table" w:customStyle="1" w:styleId="78">
    <w:name w:val="Grid Table 1 Light - Accent 5"/>
    <w:qFormat/>
    <w:uiPriority w:val="99"/>
    <w:tblPr>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0" w:type="dxa"/>
        <w:left w:w="0" w:type="dxa"/>
        <w:bottom w:w="0" w:type="dxa"/>
        <w:right w:w="0" w:type="dxa"/>
      </w:tblCellMar>
    </w:tblPr>
  </w:style>
  <w:style w:type="table" w:customStyle="1" w:styleId="79">
    <w:name w:val="Grid Table 1 Light - Accent 6"/>
    <w:qFormat/>
    <w:uiPriority w:val="99"/>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0" w:type="dxa"/>
        <w:left w:w="0" w:type="dxa"/>
        <w:bottom w:w="0" w:type="dxa"/>
        <w:right w:w="0" w:type="dxa"/>
      </w:tblCellMar>
    </w:tblPr>
  </w:style>
  <w:style w:type="table" w:customStyle="1" w:styleId="80">
    <w:name w:val="网格表 21"/>
    <w:qFormat/>
    <w:uiPriority w:val="99"/>
    <w:tblPr>
      <w:tblBorders>
        <w:bottom w:val="single" w:color="6A6A6A" w:sz="4" w:space="0"/>
        <w:insideH w:val="single" w:color="6A6A6A" w:sz="4" w:space="0"/>
        <w:insideV w:val="single" w:color="6A6A6A" w:sz="4" w:space="0"/>
      </w:tblBorders>
      <w:tblCellMar>
        <w:top w:w="0" w:type="dxa"/>
        <w:left w:w="0" w:type="dxa"/>
        <w:bottom w:w="0" w:type="dxa"/>
        <w:right w:w="0" w:type="dxa"/>
      </w:tblCellMar>
    </w:tblPr>
  </w:style>
  <w:style w:type="table" w:customStyle="1" w:styleId="81">
    <w:name w:val="Grid Table 2 - Accent 1"/>
    <w:qFormat/>
    <w:uiPriority w:val="99"/>
    <w:tblPr>
      <w:tblBorders>
        <w:bottom w:val="single" w:color="5D8AC2" w:sz="4" w:space="0"/>
        <w:insideH w:val="single" w:color="5D8AC2" w:sz="4" w:space="0"/>
        <w:insideV w:val="single" w:color="5D8AC2" w:sz="4" w:space="0"/>
      </w:tblBorders>
      <w:tblCellMar>
        <w:top w:w="0" w:type="dxa"/>
        <w:left w:w="0" w:type="dxa"/>
        <w:bottom w:w="0" w:type="dxa"/>
        <w:right w:w="0" w:type="dxa"/>
      </w:tblCellMar>
    </w:tblPr>
  </w:style>
  <w:style w:type="table" w:customStyle="1" w:styleId="82">
    <w:name w:val="Grid Table 2 - Accent 2"/>
    <w:qFormat/>
    <w:uiPriority w:val="99"/>
    <w:tblPr>
      <w:tblBorders>
        <w:bottom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83">
    <w:name w:val="Grid Table 2 - Accent 3"/>
    <w:qFormat/>
    <w:uiPriority w:val="99"/>
    <w:tblPr>
      <w:tblBorders>
        <w:bottom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84">
    <w:name w:val="Grid Table 2 - Accent 4"/>
    <w:qFormat/>
    <w:uiPriority w:val="99"/>
    <w:tblPr>
      <w:tblBorders>
        <w:bottom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85">
    <w:name w:val="Grid Table 2 - Accent 5"/>
    <w:qFormat/>
    <w:uiPriority w:val="99"/>
    <w:tblPr>
      <w:tblBorders>
        <w:bottom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86">
    <w:name w:val="Grid Table 2 - Accent 6"/>
    <w:qFormat/>
    <w:uiPriority w:val="99"/>
    <w:tblPr>
      <w:tblBorders>
        <w:bottom w:val="single" w:color="F79646" w:sz="4" w:space="0"/>
        <w:insideH w:val="single" w:color="F79646" w:sz="4" w:space="0"/>
        <w:insideV w:val="single" w:color="F79646" w:sz="4" w:space="0"/>
      </w:tblBorders>
      <w:tblCellMar>
        <w:top w:w="0" w:type="dxa"/>
        <w:left w:w="0" w:type="dxa"/>
        <w:bottom w:w="0" w:type="dxa"/>
        <w:right w:w="0" w:type="dxa"/>
      </w:tblCellMar>
    </w:tblPr>
  </w:style>
  <w:style w:type="table" w:customStyle="1" w:styleId="87">
    <w:name w:val="网格表 31"/>
    <w:qFormat/>
    <w:uiPriority w:val="99"/>
    <w:tblPr>
      <w:tblBorders>
        <w:bottom w:val="single" w:color="6A6A6A" w:sz="4" w:space="0"/>
        <w:insideH w:val="single" w:color="6A6A6A" w:sz="4" w:space="0"/>
        <w:insideV w:val="single" w:color="6A6A6A" w:sz="4" w:space="0"/>
      </w:tblBorders>
      <w:tblCellMar>
        <w:top w:w="0" w:type="dxa"/>
        <w:left w:w="0" w:type="dxa"/>
        <w:bottom w:w="0" w:type="dxa"/>
        <w:right w:w="0" w:type="dxa"/>
      </w:tblCellMar>
    </w:tblPr>
  </w:style>
  <w:style w:type="table" w:customStyle="1" w:styleId="88">
    <w:name w:val="Grid Table 3 - Accent 1"/>
    <w:qFormat/>
    <w:uiPriority w:val="99"/>
    <w:tblPr>
      <w:tblBorders>
        <w:bottom w:val="single" w:color="5D8AC2" w:sz="4" w:space="0"/>
        <w:insideH w:val="single" w:color="5D8AC2" w:sz="4" w:space="0"/>
        <w:insideV w:val="single" w:color="5D8AC2" w:sz="4" w:space="0"/>
      </w:tblBorders>
      <w:tblCellMar>
        <w:top w:w="0" w:type="dxa"/>
        <w:left w:w="0" w:type="dxa"/>
        <w:bottom w:w="0" w:type="dxa"/>
        <w:right w:w="0" w:type="dxa"/>
      </w:tblCellMar>
    </w:tblPr>
  </w:style>
  <w:style w:type="table" w:customStyle="1" w:styleId="89">
    <w:name w:val="Grid Table 3 - Accent 2"/>
    <w:qFormat/>
    <w:uiPriority w:val="99"/>
    <w:tblPr>
      <w:tblBorders>
        <w:bottom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90">
    <w:name w:val="Grid Table 3 - Accent 3"/>
    <w:qFormat/>
    <w:uiPriority w:val="99"/>
    <w:tblPr>
      <w:tblBorders>
        <w:bottom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91">
    <w:name w:val="Grid Table 3 - Accent 4"/>
    <w:qFormat/>
    <w:uiPriority w:val="99"/>
    <w:tblPr>
      <w:tblBorders>
        <w:bottom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92">
    <w:name w:val="Grid Table 3 - Accent 5"/>
    <w:qFormat/>
    <w:uiPriority w:val="99"/>
    <w:tblPr>
      <w:tblBorders>
        <w:bottom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93">
    <w:name w:val="Grid Table 3 - Accent 6"/>
    <w:qFormat/>
    <w:uiPriority w:val="99"/>
    <w:tblPr>
      <w:tblBorders>
        <w:bottom w:val="single" w:color="F79646" w:sz="4" w:space="0"/>
        <w:insideH w:val="single" w:color="F79646" w:sz="4" w:space="0"/>
        <w:insideV w:val="single" w:color="F79646" w:sz="4" w:space="0"/>
      </w:tblBorders>
      <w:tblCellMar>
        <w:top w:w="0" w:type="dxa"/>
        <w:left w:w="0" w:type="dxa"/>
        <w:bottom w:w="0" w:type="dxa"/>
        <w:right w:w="0" w:type="dxa"/>
      </w:tblCellMar>
    </w:tblPr>
  </w:style>
  <w:style w:type="table" w:customStyle="1" w:styleId="94">
    <w:name w:val="网格表 41"/>
    <w:qFormat/>
    <w:uiPriority w:val="59"/>
    <w:tblPr>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CellMar>
        <w:top w:w="0" w:type="dxa"/>
        <w:left w:w="0" w:type="dxa"/>
        <w:bottom w:w="0" w:type="dxa"/>
        <w:right w:w="0" w:type="dxa"/>
      </w:tblCellMar>
    </w:tblPr>
  </w:style>
  <w:style w:type="table" w:customStyle="1" w:styleId="95">
    <w:name w:val="Grid Table 4 - Accent 1"/>
    <w:qFormat/>
    <w:uiPriority w:val="59"/>
    <w:tblPr>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CellMar>
        <w:top w:w="0" w:type="dxa"/>
        <w:left w:w="0" w:type="dxa"/>
        <w:bottom w:w="0" w:type="dxa"/>
        <w:right w:w="0" w:type="dxa"/>
      </w:tblCellMar>
    </w:tblPr>
  </w:style>
  <w:style w:type="table" w:customStyle="1" w:styleId="96">
    <w:name w:val="Grid Table 4 - Accent 2"/>
    <w:qFormat/>
    <w:uiPriority w:val="59"/>
    <w:tblPr>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CellMar>
        <w:top w:w="0" w:type="dxa"/>
        <w:left w:w="0" w:type="dxa"/>
        <w:bottom w:w="0" w:type="dxa"/>
        <w:right w:w="0" w:type="dxa"/>
      </w:tblCellMar>
    </w:tblPr>
  </w:style>
  <w:style w:type="table" w:customStyle="1" w:styleId="97">
    <w:name w:val="Grid Table 4 - Accent 3"/>
    <w:qFormat/>
    <w:uiPriority w:val="59"/>
    <w:tblPr>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CellMar>
        <w:top w:w="0" w:type="dxa"/>
        <w:left w:w="0" w:type="dxa"/>
        <w:bottom w:w="0" w:type="dxa"/>
        <w:right w:w="0" w:type="dxa"/>
      </w:tblCellMar>
    </w:tblPr>
  </w:style>
  <w:style w:type="table" w:customStyle="1" w:styleId="98">
    <w:name w:val="Grid Table 4 - Accent 4"/>
    <w:qFormat/>
    <w:uiPriority w:val="59"/>
    <w:tblPr>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CellMar>
        <w:top w:w="0" w:type="dxa"/>
        <w:left w:w="0" w:type="dxa"/>
        <w:bottom w:w="0" w:type="dxa"/>
        <w:right w:w="0" w:type="dxa"/>
      </w:tblCellMar>
    </w:tblPr>
  </w:style>
  <w:style w:type="table" w:customStyle="1" w:styleId="99">
    <w:name w:val="Grid Table 4 - Accent 5"/>
    <w:qFormat/>
    <w:uiPriority w:val="59"/>
    <w:tblPr>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CellMar>
        <w:top w:w="0" w:type="dxa"/>
        <w:left w:w="0" w:type="dxa"/>
        <w:bottom w:w="0" w:type="dxa"/>
        <w:right w:w="0" w:type="dxa"/>
      </w:tblCellMar>
    </w:tblPr>
  </w:style>
  <w:style w:type="table" w:customStyle="1" w:styleId="100">
    <w:name w:val="Grid Table 4 - Accent 6"/>
    <w:qFormat/>
    <w:uiPriority w:val="59"/>
    <w:tblPr>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CellMar>
        <w:top w:w="0" w:type="dxa"/>
        <w:left w:w="0" w:type="dxa"/>
        <w:bottom w:w="0" w:type="dxa"/>
        <w:right w:w="0" w:type="dxa"/>
      </w:tblCellMar>
    </w:tblPr>
  </w:style>
  <w:style w:type="table" w:customStyle="1" w:styleId="101">
    <w:name w:val="网格表 5 深色1"/>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02">
    <w:name w:val="Grid Table 5 Dark- Accent 1"/>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03">
    <w:name w:val="Grid Table 5 Dark - Accent 2"/>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04">
    <w:name w:val="Grid Table 5 Dark - Accent 3"/>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05">
    <w:name w:val="Grid Table 5 Dark- Accent 4"/>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06">
    <w:name w:val="Grid Table 5 Dark - Accent 5"/>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07">
    <w:name w:val="Grid Table 5 Dark - Accent 6"/>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08">
    <w:name w:val="网格表 6 彩色1"/>
    <w:qFormat/>
    <w:uiPriority w:val="99"/>
    <w:tblPr>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top w:w="0" w:type="dxa"/>
        <w:left w:w="0" w:type="dxa"/>
        <w:bottom w:w="0" w:type="dxa"/>
        <w:right w:w="0" w:type="dxa"/>
      </w:tblCellMar>
    </w:tblPr>
  </w:style>
  <w:style w:type="table" w:customStyle="1" w:styleId="109">
    <w:name w:val="Grid Table 6 Colorful - Accent 1"/>
    <w:qFormat/>
    <w:uiPriority w:val="99"/>
    <w:tblPr>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CellMar>
        <w:top w:w="0" w:type="dxa"/>
        <w:left w:w="0" w:type="dxa"/>
        <w:bottom w:w="0" w:type="dxa"/>
        <w:right w:w="0" w:type="dxa"/>
      </w:tblCellMar>
    </w:tblPr>
  </w:style>
  <w:style w:type="table" w:customStyle="1" w:styleId="110">
    <w:name w:val="Grid Table 6 Colorful - Accent 2"/>
    <w:qFormat/>
    <w:uiPriority w:val="99"/>
    <w:tblPr>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111">
    <w:name w:val="Grid Table 6 Colorful - Accent 3"/>
    <w:qFormat/>
    <w:uiPriority w:val="99"/>
    <w:tblPr>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112">
    <w:name w:val="Grid Table 6 Colorful - Accent 4"/>
    <w:qFormat/>
    <w:uiPriority w:val="99"/>
    <w:tblPr>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113">
    <w:name w:val="Grid Table 6 Colorful - Accent 5"/>
    <w:qFormat/>
    <w:uiPriority w:val="99"/>
    <w:tblPr>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114">
    <w:name w:val="Grid Table 6 Colorful - Accent 6"/>
    <w:qFormat/>
    <w:uiPriority w:val="99"/>
    <w:tblPr>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CellMar>
        <w:top w:w="0" w:type="dxa"/>
        <w:left w:w="0" w:type="dxa"/>
        <w:bottom w:w="0" w:type="dxa"/>
        <w:right w:w="0" w:type="dxa"/>
      </w:tblCellMar>
    </w:tblPr>
  </w:style>
  <w:style w:type="table" w:customStyle="1" w:styleId="115">
    <w:name w:val="网格表 7 彩色1"/>
    <w:qFormat/>
    <w:uiPriority w:val="99"/>
    <w:tblPr>
      <w:tblBorders>
        <w:bottom w:val="single" w:color="7F7F7F" w:sz="4" w:space="0"/>
        <w:right w:val="single" w:color="7F7F7F" w:sz="4" w:space="0"/>
        <w:insideH w:val="single" w:color="7F7F7F" w:sz="4" w:space="0"/>
        <w:insideV w:val="single" w:color="7F7F7F" w:sz="4" w:space="0"/>
      </w:tblBorders>
      <w:tblCellMar>
        <w:top w:w="0" w:type="dxa"/>
        <w:left w:w="0" w:type="dxa"/>
        <w:bottom w:w="0" w:type="dxa"/>
        <w:right w:w="0" w:type="dxa"/>
      </w:tblCellMar>
    </w:tblPr>
  </w:style>
  <w:style w:type="table" w:customStyle="1" w:styleId="116">
    <w:name w:val="Grid Table 7 Colorful - Accent 1"/>
    <w:qFormat/>
    <w:uiPriority w:val="99"/>
    <w:tblPr>
      <w:tblBorders>
        <w:bottom w:val="single" w:color="A6BFDD" w:sz="4" w:space="0"/>
        <w:right w:val="single" w:color="A6BFDD" w:sz="4" w:space="0"/>
        <w:insideH w:val="single" w:color="A6BFDD" w:sz="4" w:space="0"/>
        <w:insideV w:val="single" w:color="A6BFDD" w:sz="4" w:space="0"/>
      </w:tblBorders>
      <w:tblCellMar>
        <w:top w:w="0" w:type="dxa"/>
        <w:left w:w="0" w:type="dxa"/>
        <w:bottom w:w="0" w:type="dxa"/>
        <w:right w:w="0" w:type="dxa"/>
      </w:tblCellMar>
    </w:tblPr>
  </w:style>
  <w:style w:type="table" w:customStyle="1" w:styleId="117">
    <w:name w:val="Grid Table 7 Colorful - Accent 2"/>
    <w:qFormat/>
    <w:uiPriority w:val="99"/>
    <w:tblPr>
      <w:tblBorders>
        <w:bottom w:val="single" w:color="D99695" w:sz="4" w:space="0"/>
        <w:right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118">
    <w:name w:val="Grid Table 7 Colorful - Accent 3"/>
    <w:qFormat/>
    <w:uiPriority w:val="99"/>
    <w:tblPr>
      <w:tblBorders>
        <w:bottom w:val="single" w:color="9ABB59" w:sz="4" w:space="0"/>
        <w:right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119">
    <w:name w:val="Grid Table 7 Colorful - Accent 4"/>
    <w:qFormat/>
    <w:uiPriority w:val="99"/>
    <w:tblPr>
      <w:tblBorders>
        <w:bottom w:val="single" w:color="B2A1C6" w:sz="4" w:space="0"/>
        <w:right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120">
    <w:name w:val="Grid Table 7 Colorful - Accent 5"/>
    <w:qFormat/>
    <w:uiPriority w:val="99"/>
    <w:tblPr>
      <w:tblBorders>
        <w:bottom w:val="single" w:color="99D0DE" w:sz="4" w:space="0"/>
        <w:right w:val="single" w:color="99D0DE" w:sz="4" w:space="0"/>
        <w:insideH w:val="single" w:color="99D0DE" w:sz="4" w:space="0"/>
        <w:insideV w:val="single" w:color="99D0DE" w:sz="4" w:space="0"/>
      </w:tblBorders>
      <w:tblCellMar>
        <w:top w:w="0" w:type="dxa"/>
        <w:left w:w="0" w:type="dxa"/>
        <w:bottom w:w="0" w:type="dxa"/>
        <w:right w:w="0" w:type="dxa"/>
      </w:tblCellMar>
    </w:tblPr>
  </w:style>
  <w:style w:type="table" w:customStyle="1" w:styleId="121">
    <w:name w:val="Grid Table 7 Colorful - Accent 6"/>
    <w:qFormat/>
    <w:uiPriority w:val="99"/>
    <w:tblPr>
      <w:tblBorders>
        <w:bottom w:val="single" w:color="FAC396" w:sz="4" w:space="0"/>
        <w:right w:val="single" w:color="FAC396" w:sz="4" w:space="0"/>
        <w:insideH w:val="single" w:color="FAC396" w:sz="4" w:space="0"/>
        <w:insideV w:val="single" w:color="FAC396" w:sz="4" w:space="0"/>
      </w:tblBorders>
      <w:tblCellMar>
        <w:top w:w="0" w:type="dxa"/>
        <w:left w:w="0" w:type="dxa"/>
        <w:bottom w:w="0" w:type="dxa"/>
        <w:right w:w="0" w:type="dxa"/>
      </w:tblCellMar>
    </w:tblPr>
  </w:style>
  <w:style w:type="table" w:customStyle="1" w:styleId="122">
    <w:name w:val="清单表 1 浅色1"/>
    <w:qFormat/>
    <w:uiPriority w:val="99"/>
    <w:tblPr>
      <w:tblCellMar>
        <w:top w:w="0" w:type="dxa"/>
        <w:left w:w="0" w:type="dxa"/>
        <w:bottom w:w="0" w:type="dxa"/>
        <w:right w:w="0" w:type="dxa"/>
      </w:tblCellMar>
    </w:tblPr>
  </w:style>
  <w:style w:type="table" w:customStyle="1" w:styleId="123">
    <w:name w:val="List Table 1 Light - Accent 1"/>
    <w:qFormat/>
    <w:uiPriority w:val="99"/>
    <w:tblPr>
      <w:tblCellMar>
        <w:top w:w="0" w:type="dxa"/>
        <w:left w:w="0" w:type="dxa"/>
        <w:bottom w:w="0" w:type="dxa"/>
        <w:right w:w="0" w:type="dxa"/>
      </w:tblCellMar>
    </w:tblPr>
  </w:style>
  <w:style w:type="table" w:customStyle="1" w:styleId="124">
    <w:name w:val="List Table 1 Light - Accent 2"/>
    <w:qFormat/>
    <w:uiPriority w:val="99"/>
    <w:tblPr>
      <w:tblCellMar>
        <w:top w:w="0" w:type="dxa"/>
        <w:left w:w="0" w:type="dxa"/>
        <w:bottom w:w="0" w:type="dxa"/>
        <w:right w:w="0" w:type="dxa"/>
      </w:tblCellMar>
    </w:tblPr>
  </w:style>
  <w:style w:type="table" w:customStyle="1" w:styleId="125">
    <w:name w:val="List Table 1 Light - Accent 3"/>
    <w:qFormat/>
    <w:uiPriority w:val="99"/>
    <w:tblPr>
      <w:tblCellMar>
        <w:top w:w="0" w:type="dxa"/>
        <w:left w:w="0" w:type="dxa"/>
        <w:bottom w:w="0" w:type="dxa"/>
        <w:right w:w="0" w:type="dxa"/>
      </w:tblCellMar>
    </w:tblPr>
  </w:style>
  <w:style w:type="table" w:customStyle="1" w:styleId="126">
    <w:name w:val="List Table 1 Light - Accent 4"/>
    <w:qFormat/>
    <w:uiPriority w:val="99"/>
    <w:tblPr>
      <w:tblCellMar>
        <w:top w:w="0" w:type="dxa"/>
        <w:left w:w="0" w:type="dxa"/>
        <w:bottom w:w="0" w:type="dxa"/>
        <w:right w:w="0" w:type="dxa"/>
      </w:tblCellMar>
    </w:tblPr>
  </w:style>
  <w:style w:type="table" w:customStyle="1" w:styleId="127">
    <w:name w:val="List Table 1 Light - Accent 5"/>
    <w:qFormat/>
    <w:uiPriority w:val="99"/>
    <w:tblPr>
      <w:tblCellMar>
        <w:top w:w="0" w:type="dxa"/>
        <w:left w:w="0" w:type="dxa"/>
        <w:bottom w:w="0" w:type="dxa"/>
        <w:right w:w="0" w:type="dxa"/>
      </w:tblCellMar>
    </w:tblPr>
  </w:style>
  <w:style w:type="table" w:customStyle="1" w:styleId="128">
    <w:name w:val="List Table 1 Light - Accent 6"/>
    <w:qFormat/>
    <w:uiPriority w:val="99"/>
    <w:tblPr>
      <w:tblCellMar>
        <w:top w:w="0" w:type="dxa"/>
        <w:left w:w="0" w:type="dxa"/>
        <w:bottom w:w="0" w:type="dxa"/>
        <w:right w:w="0" w:type="dxa"/>
      </w:tblCellMar>
    </w:tblPr>
  </w:style>
  <w:style w:type="table" w:customStyle="1" w:styleId="129">
    <w:name w:val="清单表 21"/>
    <w:qFormat/>
    <w:uiPriority w:val="99"/>
    <w:tblPr>
      <w:tblBorders>
        <w:top w:val="single" w:color="6F6F6F" w:sz="4" w:space="0"/>
        <w:bottom w:val="single" w:color="6F6F6F" w:sz="4" w:space="0"/>
        <w:insideH w:val="single" w:color="6F6F6F" w:sz="4" w:space="0"/>
      </w:tblBorders>
      <w:tblCellMar>
        <w:top w:w="0" w:type="dxa"/>
        <w:left w:w="0" w:type="dxa"/>
        <w:bottom w:w="0" w:type="dxa"/>
        <w:right w:w="0" w:type="dxa"/>
      </w:tblCellMar>
    </w:tblPr>
  </w:style>
  <w:style w:type="table" w:customStyle="1" w:styleId="130">
    <w:name w:val="List Table 2 - Accent 1"/>
    <w:qFormat/>
    <w:uiPriority w:val="99"/>
    <w:tblPr>
      <w:tblBorders>
        <w:top w:val="single" w:color="9BB7D9" w:sz="4" w:space="0"/>
        <w:bottom w:val="single" w:color="9BB7D9" w:sz="4" w:space="0"/>
        <w:insideH w:val="single" w:color="9BB7D9" w:sz="4" w:space="0"/>
      </w:tblBorders>
      <w:tblCellMar>
        <w:top w:w="0" w:type="dxa"/>
        <w:left w:w="0" w:type="dxa"/>
        <w:bottom w:w="0" w:type="dxa"/>
        <w:right w:w="0" w:type="dxa"/>
      </w:tblCellMar>
    </w:tblPr>
  </w:style>
  <w:style w:type="table" w:customStyle="1" w:styleId="131">
    <w:name w:val="List Table 2 - Accent 2"/>
    <w:qFormat/>
    <w:uiPriority w:val="99"/>
    <w:tblPr>
      <w:tblBorders>
        <w:top w:val="single" w:color="DB9B9A" w:sz="4" w:space="0"/>
        <w:bottom w:val="single" w:color="DB9B9A" w:sz="4" w:space="0"/>
        <w:insideH w:val="single" w:color="DB9B9A" w:sz="4" w:space="0"/>
      </w:tblBorders>
      <w:tblCellMar>
        <w:top w:w="0" w:type="dxa"/>
        <w:left w:w="0" w:type="dxa"/>
        <w:bottom w:w="0" w:type="dxa"/>
        <w:right w:w="0" w:type="dxa"/>
      </w:tblCellMar>
    </w:tblPr>
  </w:style>
  <w:style w:type="table" w:customStyle="1" w:styleId="132">
    <w:name w:val="List Table 2 - Accent 3"/>
    <w:qFormat/>
    <w:uiPriority w:val="99"/>
    <w:tblPr>
      <w:tblBorders>
        <w:top w:val="single" w:color="C6D8A1" w:sz="4" w:space="0"/>
        <w:bottom w:val="single" w:color="C6D8A1" w:sz="4" w:space="0"/>
        <w:insideH w:val="single" w:color="C6D8A1" w:sz="4" w:space="0"/>
      </w:tblBorders>
      <w:tblCellMar>
        <w:top w:w="0" w:type="dxa"/>
        <w:left w:w="0" w:type="dxa"/>
        <w:bottom w:w="0" w:type="dxa"/>
        <w:right w:w="0" w:type="dxa"/>
      </w:tblCellMar>
    </w:tblPr>
  </w:style>
  <w:style w:type="table" w:customStyle="1" w:styleId="133">
    <w:name w:val="List Table 2 - Accent 4"/>
    <w:qFormat/>
    <w:uiPriority w:val="99"/>
    <w:tblPr>
      <w:tblBorders>
        <w:top w:val="single" w:color="B7A7CA" w:sz="4" w:space="0"/>
        <w:bottom w:val="single" w:color="B7A7CA" w:sz="4" w:space="0"/>
        <w:insideH w:val="single" w:color="B7A7CA" w:sz="4" w:space="0"/>
      </w:tblBorders>
      <w:tblCellMar>
        <w:top w:w="0" w:type="dxa"/>
        <w:left w:w="0" w:type="dxa"/>
        <w:bottom w:w="0" w:type="dxa"/>
        <w:right w:w="0" w:type="dxa"/>
      </w:tblCellMar>
    </w:tblPr>
  </w:style>
  <w:style w:type="table" w:customStyle="1" w:styleId="134">
    <w:name w:val="List Table 2 - Accent 5"/>
    <w:qFormat/>
    <w:uiPriority w:val="99"/>
    <w:tblPr>
      <w:tblBorders>
        <w:top w:val="single" w:color="99D0DE" w:sz="4" w:space="0"/>
        <w:bottom w:val="single" w:color="99D0DE" w:sz="4" w:space="0"/>
        <w:insideH w:val="single" w:color="99D0DE" w:sz="4" w:space="0"/>
      </w:tblBorders>
      <w:tblCellMar>
        <w:top w:w="0" w:type="dxa"/>
        <w:left w:w="0" w:type="dxa"/>
        <w:bottom w:w="0" w:type="dxa"/>
        <w:right w:w="0" w:type="dxa"/>
      </w:tblCellMar>
    </w:tblPr>
  </w:style>
  <w:style w:type="table" w:customStyle="1" w:styleId="135">
    <w:name w:val="List Table 2 - Accent 6"/>
    <w:qFormat/>
    <w:uiPriority w:val="99"/>
    <w:tblPr>
      <w:tblBorders>
        <w:top w:val="single" w:color="FAC396" w:sz="4" w:space="0"/>
        <w:bottom w:val="single" w:color="FAC396" w:sz="4" w:space="0"/>
        <w:insideH w:val="single" w:color="FAC396" w:sz="4" w:space="0"/>
      </w:tblBorders>
      <w:tblCellMar>
        <w:top w:w="0" w:type="dxa"/>
        <w:left w:w="0" w:type="dxa"/>
        <w:bottom w:w="0" w:type="dxa"/>
        <w:right w:w="0" w:type="dxa"/>
      </w:tblCellMar>
    </w:tblPr>
  </w:style>
  <w:style w:type="table" w:customStyle="1" w:styleId="136">
    <w:name w:val="清单表 31"/>
    <w:qFormat/>
    <w:uiPriority w:val="99"/>
    <w:tblPr>
      <w:tblBorders>
        <w:top w:val="single" w:color="000000" w:sz="4" w:space="0"/>
        <w:left w:val="single" w:color="000000" w:sz="4" w:space="0"/>
        <w:bottom w:val="single" w:color="000000" w:sz="4" w:space="0"/>
        <w:right w:val="single" w:color="000000" w:sz="4" w:space="0"/>
      </w:tblBorders>
      <w:tblCellMar>
        <w:top w:w="0" w:type="dxa"/>
        <w:left w:w="0" w:type="dxa"/>
        <w:bottom w:w="0" w:type="dxa"/>
        <w:right w:w="0" w:type="dxa"/>
      </w:tblCellMar>
    </w:tblPr>
  </w:style>
  <w:style w:type="table" w:customStyle="1" w:styleId="137">
    <w:name w:val="List Table 3 - Accent 1"/>
    <w:qFormat/>
    <w:uiPriority w:val="99"/>
    <w:tblPr>
      <w:tblBorders>
        <w:top w:val="single" w:color="4F81BD" w:sz="4" w:space="0"/>
        <w:left w:val="single" w:color="4F81BD" w:sz="4" w:space="0"/>
        <w:bottom w:val="single" w:color="4F81BD" w:sz="4" w:space="0"/>
        <w:right w:val="single" w:color="4F81BD" w:sz="4" w:space="0"/>
      </w:tblBorders>
      <w:tblCellMar>
        <w:top w:w="0" w:type="dxa"/>
        <w:left w:w="0" w:type="dxa"/>
        <w:bottom w:w="0" w:type="dxa"/>
        <w:right w:w="0" w:type="dxa"/>
      </w:tblCellMar>
    </w:tblPr>
  </w:style>
  <w:style w:type="table" w:customStyle="1" w:styleId="138">
    <w:name w:val="List Table 3 - Accent 2"/>
    <w:qFormat/>
    <w:uiPriority w:val="99"/>
    <w:tblPr>
      <w:tblBorders>
        <w:top w:val="single" w:color="D99695" w:sz="4" w:space="0"/>
        <w:left w:val="single" w:color="D99695" w:sz="4" w:space="0"/>
        <w:bottom w:val="single" w:color="D99695" w:sz="4" w:space="0"/>
        <w:right w:val="single" w:color="D99695" w:sz="4" w:space="0"/>
      </w:tblBorders>
      <w:tblCellMar>
        <w:top w:w="0" w:type="dxa"/>
        <w:left w:w="0" w:type="dxa"/>
        <w:bottom w:w="0" w:type="dxa"/>
        <w:right w:w="0" w:type="dxa"/>
      </w:tblCellMar>
    </w:tblPr>
  </w:style>
  <w:style w:type="table" w:customStyle="1" w:styleId="139">
    <w:name w:val="List Table 3 - Accent 3"/>
    <w:qFormat/>
    <w:uiPriority w:val="99"/>
    <w:tblPr>
      <w:tblBorders>
        <w:top w:val="single" w:color="C3D69B" w:sz="4" w:space="0"/>
        <w:left w:val="single" w:color="C3D69B" w:sz="4" w:space="0"/>
        <w:bottom w:val="single" w:color="C3D69B" w:sz="4" w:space="0"/>
        <w:right w:val="single" w:color="C3D69B" w:sz="4" w:space="0"/>
      </w:tblBorders>
      <w:tblCellMar>
        <w:top w:w="0" w:type="dxa"/>
        <w:left w:w="0" w:type="dxa"/>
        <w:bottom w:w="0" w:type="dxa"/>
        <w:right w:w="0" w:type="dxa"/>
      </w:tblCellMar>
    </w:tblPr>
  </w:style>
  <w:style w:type="table" w:customStyle="1" w:styleId="140">
    <w:name w:val="List Table 3 - Accent 4"/>
    <w:qFormat/>
    <w:uiPriority w:val="99"/>
    <w:tblPr>
      <w:tblBorders>
        <w:top w:val="single" w:color="B2A1C6" w:sz="4" w:space="0"/>
        <w:left w:val="single" w:color="B2A1C6" w:sz="4" w:space="0"/>
        <w:bottom w:val="single" w:color="B2A1C6" w:sz="4" w:space="0"/>
        <w:right w:val="single" w:color="B2A1C6" w:sz="4" w:space="0"/>
      </w:tblBorders>
      <w:tblCellMar>
        <w:top w:w="0" w:type="dxa"/>
        <w:left w:w="0" w:type="dxa"/>
        <w:bottom w:w="0" w:type="dxa"/>
        <w:right w:w="0" w:type="dxa"/>
      </w:tblCellMar>
    </w:tblPr>
  </w:style>
  <w:style w:type="table" w:customStyle="1" w:styleId="141">
    <w:name w:val="List Table 3 - Accent 5"/>
    <w:qFormat/>
    <w:uiPriority w:val="99"/>
    <w:tblPr>
      <w:tblBorders>
        <w:top w:val="single" w:color="92CCDC" w:sz="4" w:space="0"/>
        <w:left w:val="single" w:color="92CCDC" w:sz="4" w:space="0"/>
        <w:bottom w:val="single" w:color="92CCDC" w:sz="4" w:space="0"/>
        <w:right w:val="single" w:color="92CCDC" w:sz="4" w:space="0"/>
      </w:tblBorders>
      <w:tblCellMar>
        <w:top w:w="0" w:type="dxa"/>
        <w:left w:w="0" w:type="dxa"/>
        <w:bottom w:w="0" w:type="dxa"/>
        <w:right w:w="0" w:type="dxa"/>
      </w:tblCellMar>
    </w:tblPr>
  </w:style>
  <w:style w:type="table" w:customStyle="1" w:styleId="142">
    <w:name w:val="List Table 3 - Accent 6"/>
    <w:qFormat/>
    <w:uiPriority w:val="99"/>
    <w:tblPr>
      <w:tblBorders>
        <w:top w:val="single" w:color="FAC090" w:sz="4" w:space="0"/>
        <w:left w:val="single" w:color="FAC090" w:sz="4" w:space="0"/>
        <w:bottom w:val="single" w:color="FAC090" w:sz="4" w:space="0"/>
        <w:right w:val="single" w:color="FAC090" w:sz="4" w:space="0"/>
      </w:tblBorders>
      <w:tblCellMar>
        <w:top w:w="0" w:type="dxa"/>
        <w:left w:w="0" w:type="dxa"/>
        <w:bottom w:w="0" w:type="dxa"/>
        <w:right w:w="0" w:type="dxa"/>
      </w:tblCellMar>
    </w:tblPr>
  </w:style>
  <w:style w:type="table" w:customStyle="1" w:styleId="143">
    <w:name w:val="清单表 41"/>
    <w:qFormat/>
    <w:uiPriority w:val="99"/>
    <w:tblPr>
      <w:tblBorders>
        <w:top w:val="single" w:color="000000" w:sz="4" w:space="0"/>
        <w:left w:val="single" w:color="000000" w:sz="4" w:space="0"/>
        <w:bottom w:val="single" w:color="000000" w:sz="4" w:space="0"/>
        <w:right w:val="single" w:color="000000" w:sz="4" w:space="0"/>
        <w:insideH w:val="single" w:color="000000" w:sz="4" w:space="0"/>
      </w:tblBorders>
      <w:tblCellMar>
        <w:top w:w="0" w:type="dxa"/>
        <w:left w:w="0" w:type="dxa"/>
        <w:bottom w:w="0" w:type="dxa"/>
        <w:right w:w="0" w:type="dxa"/>
      </w:tblCellMar>
    </w:tblPr>
  </w:style>
  <w:style w:type="table" w:customStyle="1" w:styleId="144">
    <w:name w:val="List Table 4 - Accent 1"/>
    <w:qFormat/>
    <w:uiPriority w:val="99"/>
    <w:tblPr>
      <w:tblBorders>
        <w:top w:val="single" w:color="9BB7D9" w:sz="4" w:space="0"/>
        <w:left w:val="single" w:color="9BB7D9" w:sz="4" w:space="0"/>
        <w:bottom w:val="single" w:color="9BB7D9" w:sz="4" w:space="0"/>
        <w:right w:val="single" w:color="9BB7D9" w:sz="4" w:space="0"/>
        <w:insideH w:val="single" w:color="9BB7D9" w:sz="4" w:space="0"/>
      </w:tblBorders>
      <w:tblCellMar>
        <w:top w:w="0" w:type="dxa"/>
        <w:left w:w="0" w:type="dxa"/>
        <w:bottom w:w="0" w:type="dxa"/>
        <w:right w:w="0" w:type="dxa"/>
      </w:tblCellMar>
    </w:tblPr>
  </w:style>
  <w:style w:type="table" w:customStyle="1" w:styleId="145">
    <w:name w:val="List Table 4 - Accent 2"/>
    <w:qFormat/>
    <w:uiPriority w:val="99"/>
    <w:tblPr>
      <w:tblBorders>
        <w:top w:val="single" w:color="DB9B9A" w:sz="4" w:space="0"/>
        <w:left w:val="single" w:color="DB9B9A" w:sz="4" w:space="0"/>
        <w:bottom w:val="single" w:color="DB9B9A" w:sz="4" w:space="0"/>
        <w:right w:val="single" w:color="DB9B9A" w:sz="4" w:space="0"/>
        <w:insideH w:val="single" w:color="DB9B9A" w:sz="4" w:space="0"/>
      </w:tblBorders>
      <w:tblCellMar>
        <w:top w:w="0" w:type="dxa"/>
        <w:left w:w="0" w:type="dxa"/>
        <w:bottom w:w="0" w:type="dxa"/>
        <w:right w:w="0" w:type="dxa"/>
      </w:tblCellMar>
    </w:tblPr>
  </w:style>
  <w:style w:type="table" w:customStyle="1" w:styleId="146">
    <w:name w:val="List Table 4 - Accent 3"/>
    <w:qFormat/>
    <w:uiPriority w:val="99"/>
    <w:tblPr>
      <w:tblBorders>
        <w:top w:val="single" w:color="C6D8A1" w:sz="4" w:space="0"/>
        <w:left w:val="single" w:color="C6D8A1" w:sz="4" w:space="0"/>
        <w:bottom w:val="single" w:color="C6D8A1" w:sz="4" w:space="0"/>
        <w:right w:val="single" w:color="C6D8A1" w:sz="4" w:space="0"/>
        <w:insideH w:val="single" w:color="C6D8A1" w:sz="4" w:space="0"/>
      </w:tblBorders>
      <w:tblCellMar>
        <w:top w:w="0" w:type="dxa"/>
        <w:left w:w="0" w:type="dxa"/>
        <w:bottom w:w="0" w:type="dxa"/>
        <w:right w:w="0" w:type="dxa"/>
      </w:tblCellMar>
    </w:tblPr>
  </w:style>
  <w:style w:type="table" w:customStyle="1" w:styleId="147">
    <w:name w:val="List Table 4 - Accent 4"/>
    <w:qFormat/>
    <w:uiPriority w:val="99"/>
    <w:tblPr>
      <w:tblBorders>
        <w:top w:val="single" w:color="B7A7CA" w:sz="4" w:space="0"/>
        <w:left w:val="single" w:color="B7A7CA" w:sz="4" w:space="0"/>
        <w:bottom w:val="single" w:color="B7A7CA" w:sz="4" w:space="0"/>
        <w:right w:val="single" w:color="B7A7CA" w:sz="4" w:space="0"/>
        <w:insideH w:val="single" w:color="B7A7CA" w:sz="4" w:space="0"/>
      </w:tblBorders>
      <w:tblCellMar>
        <w:top w:w="0" w:type="dxa"/>
        <w:left w:w="0" w:type="dxa"/>
        <w:bottom w:w="0" w:type="dxa"/>
        <w:right w:w="0" w:type="dxa"/>
      </w:tblCellMar>
    </w:tblPr>
  </w:style>
  <w:style w:type="table" w:customStyle="1" w:styleId="148">
    <w:name w:val="List Table 4 - Accent 5"/>
    <w:qFormat/>
    <w:uiPriority w:val="99"/>
    <w:tblPr>
      <w:tblBorders>
        <w:top w:val="single" w:color="99D0DE" w:sz="4" w:space="0"/>
        <w:left w:val="single" w:color="99D0DE" w:sz="4" w:space="0"/>
        <w:bottom w:val="single" w:color="99D0DE" w:sz="4" w:space="0"/>
        <w:right w:val="single" w:color="99D0DE" w:sz="4" w:space="0"/>
        <w:insideH w:val="single" w:color="99D0DE" w:sz="4" w:space="0"/>
      </w:tblBorders>
      <w:tblCellMar>
        <w:top w:w="0" w:type="dxa"/>
        <w:left w:w="0" w:type="dxa"/>
        <w:bottom w:w="0" w:type="dxa"/>
        <w:right w:w="0" w:type="dxa"/>
      </w:tblCellMar>
    </w:tblPr>
  </w:style>
  <w:style w:type="table" w:customStyle="1" w:styleId="149">
    <w:name w:val="List Table 4 - Accent 6"/>
    <w:qFormat/>
    <w:uiPriority w:val="99"/>
    <w:tblPr>
      <w:tblBorders>
        <w:top w:val="single" w:color="FAC396" w:sz="4" w:space="0"/>
        <w:left w:val="single" w:color="FAC396" w:sz="4" w:space="0"/>
        <w:bottom w:val="single" w:color="FAC396" w:sz="4" w:space="0"/>
        <w:right w:val="single" w:color="FAC396" w:sz="4" w:space="0"/>
        <w:insideH w:val="single" w:color="FAC396" w:sz="4" w:space="0"/>
      </w:tblBorders>
      <w:tblCellMar>
        <w:top w:w="0" w:type="dxa"/>
        <w:left w:w="0" w:type="dxa"/>
        <w:bottom w:w="0" w:type="dxa"/>
        <w:right w:w="0" w:type="dxa"/>
      </w:tblCellMar>
    </w:tblPr>
  </w:style>
  <w:style w:type="table" w:customStyle="1" w:styleId="150">
    <w:name w:val="清单表 5 深色1"/>
    <w:qFormat/>
    <w:uiPriority w:val="99"/>
    <w:tblPr>
      <w:tblBorders>
        <w:top w:val="single" w:color="7F7F7F" w:sz="32" w:space="0"/>
        <w:left w:val="single" w:color="7F7F7F" w:sz="32" w:space="0"/>
        <w:bottom w:val="single" w:color="7F7F7F" w:sz="32" w:space="0"/>
        <w:right w:val="single" w:color="7F7F7F" w:sz="32" w:space="0"/>
      </w:tblBorders>
      <w:tblCellMar>
        <w:top w:w="0" w:type="dxa"/>
        <w:left w:w="0" w:type="dxa"/>
        <w:bottom w:w="0" w:type="dxa"/>
        <w:right w:w="0" w:type="dxa"/>
      </w:tblCellMar>
    </w:tblPr>
  </w:style>
  <w:style w:type="table" w:customStyle="1" w:styleId="151">
    <w:name w:val="List Table 5 Dark - Accent 1"/>
    <w:qFormat/>
    <w:uiPriority w:val="99"/>
    <w:tblPr>
      <w:tblBorders>
        <w:top w:val="single" w:color="4F81BD" w:sz="32" w:space="0"/>
        <w:left w:val="single" w:color="4F81BD" w:sz="32" w:space="0"/>
        <w:bottom w:val="single" w:color="4F81BD" w:sz="32" w:space="0"/>
        <w:right w:val="single" w:color="4F81BD" w:sz="32" w:space="0"/>
      </w:tblBorders>
      <w:tblCellMar>
        <w:top w:w="0" w:type="dxa"/>
        <w:left w:w="0" w:type="dxa"/>
        <w:bottom w:w="0" w:type="dxa"/>
        <w:right w:w="0" w:type="dxa"/>
      </w:tblCellMar>
    </w:tblPr>
  </w:style>
  <w:style w:type="table" w:customStyle="1" w:styleId="152">
    <w:name w:val="List Table 5 Dark - Accent 2"/>
    <w:qFormat/>
    <w:uiPriority w:val="99"/>
    <w:tblPr>
      <w:tblBorders>
        <w:top w:val="single" w:color="D99695" w:sz="32" w:space="0"/>
        <w:left w:val="single" w:color="D99695" w:sz="32" w:space="0"/>
        <w:bottom w:val="single" w:color="D99695" w:sz="32" w:space="0"/>
        <w:right w:val="single" w:color="D99695" w:sz="32" w:space="0"/>
      </w:tblBorders>
      <w:tblCellMar>
        <w:top w:w="0" w:type="dxa"/>
        <w:left w:w="0" w:type="dxa"/>
        <w:bottom w:w="0" w:type="dxa"/>
        <w:right w:w="0" w:type="dxa"/>
      </w:tblCellMar>
    </w:tblPr>
  </w:style>
  <w:style w:type="table" w:customStyle="1" w:styleId="153">
    <w:name w:val="List Table 5 Dark - Accent 3"/>
    <w:qFormat/>
    <w:uiPriority w:val="99"/>
    <w:tblPr>
      <w:tblBorders>
        <w:top w:val="single" w:color="C3D69B" w:sz="32" w:space="0"/>
        <w:left w:val="single" w:color="C3D69B" w:sz="32" w:space="0"/>
        <w:bottom w:val="single" w:color="C3D69B" w:sz="32" w:space="0"/>
        <w:right w:val="single" w:color="C3D69B" w:sz="32" w:space="0"/>
      </w:tblBorders>
      <w:tblCellMar>
        <w:top w:w="0" w:type="dxa"/>
        <w:left w:w="0" w:type="dxa"/>
        <w:bottom w:w="0" w:type="dxa"/>
        <w:right w:w="0" w:type="dxa"/>
      </w:tblCellMar>
    </w:tblPr>
  </w:style>
  <w:style w:type="table" w:customStyle="1" w:styleId="154">
    <w:name w:val="List Table 5 Dark - Accent 4"/>
    <w:qFormat/>
    <w:uiPriority w:val="99"/>
    <w:tblPr>
      <w:tblBorders>
        <w:top w:val="single" w:color="B2A1C6" w:sz="32" w:space="0"/>
        <w:left w:val="single" w:color="B2A1C6" w:sz="32" w:space="0"/>
        <w:bottom w:val="single" w:color="B2A1C6" w:sz="32" w:space="0"/>
        <w:right w:val="single" w:color="B2A1C6" w:sz="32" w:space="0"/>
      </w:tblBorders>
      <w:tblCellMar>
        <w:top w:w="0" w:type="dxa"/>
        <w:left w:w="0" w:type="dxa"/>
        <w:bottom w:w="0" w:type="dxa"/>
        <w:right w:w="0" w:type="dxa"/>
      </w:tblCellMar>
    </w:tblPr>
  </w:style>
  <w:style w:type="table" w:customStyle="1" w:styleId="155">
    <w:name w:val="List Table 5 Dark - Accent 5"/>
    <w:qFormat/>
    <w:uiPriority w:val="99"/>
    <w:tblPr>
      <w:tblBorders>
        <w:top w:val="single" w:color="92CCDC" w:sz="32" w:space="0"/>
        <w:left w:val="single" w:color="92CCDC" w:sz="32" w:space="0"/>
        <w:bottom w:val="single" w:color="92CCDC" w:sz="32" w:space="0"/>
        <w:right w:val="single" w:color="92CCDC" w:sz="32" w:space="0"/>
      </w:tblBorders>
      <w:tblCellMar>
        <w:top w:w="0" w:type="dxa"/>
        <w:left w:w="0" w:type="dxa"/>
        <w:bottom w:w="0" w:type="dxa"/>
        <w:right w:w="0" w:type="dxa"/>
      </w:tblCellMar>
    </w:tblPr>
  </w:style>
  <w:style w:type="table" w:customStyle="1" w:styleId="156">
    <w:name w:val="List Table 5 Dark - Accent 6"/>
    <w:qFormat/>
    <w:uiPriority w:val="99"/>
    <w:tblPr>
      <w:tblBorders>
        <w:top w:val="single" w:color="FAC090" w:sz="32" w:space="0"/>
        <w:left w:val="single" w:color="FAC090" w:sz="32" w:space="0"/>
        <w:bottom w:val="single" w:color="FAC090" w:sz="32" w:space="0"/>
        <w:right w:val="single" w:color="FAC090" w:sz="32" w:space="0"/>
      </w:tblBorders>
      <w:tblCellMar>
        <w:top w:w="0" w:type="dxa"/>
        <w:left w:w="0" w:type="dxa"/>
        <w:bottom w:w="0" w:type="dxa"/>
        <w:right w:w="0" w:type="dxa"/>
      </w:tblCellMar>
    </w:tblPr>
  </w:style>
  <w:style w:type="table" w:customStyle="1" w:styleId="157">
    <w:name w:val="清单表 6 彩色1"/>
    <w:qFormat/>
    <w:uiPriority w:val="99"/>
    <w:tblPr>
      <w:tblBorders>
        <w:top w:val="single" w:color="7F7F7F" w:sz="4" w:space="0"/>
        <w:bottom w:val="single" w:color="7F7F7F" w:sz="4" w:space="0"/>
      </w:tblBorders>
      <w:tblCellMar>
        <w:top w:w="0" w:type="dxa"/>
        <w:left w:w="0" w:type="dxa"/>
        <w:bottom w:w="0" w:type="dxa"/>
        <w:right w:w="0" w:type="dxa"/>
      </w:tblCellMar>
    </w:tblPr>
  </w:style>
  <w:style w:type="table" w:customStyle="1" w:styleId="158">
    <w:name w:val="List Table 6 Colorful - Accent 1"/>
    <w:qFormat/>
    <w:uiPriority w:val="99"/>
    <w:tblPr>
      <w:tblBorders>
        <w:top w:val="single" w:color="4F81BD" w:sz="4" w:space="0"/>
        <w:bottom w:val="single" w:color="4F81BD" w:sz="4" w:space="0"/>
      </w:tblBorders>
      <w:tblCellMar>
        <w:top w:w="0" w:type="dxa"/>
        <w:left w:w="0" w:type="dxa"/>
        <w:bottom w:w="0" w:type="dxa"/>
        <w:right w:w="0" w:type="dxa"/>
      </w:tblCellMar>
    </w:tblPr>
  </w:style>
  <w:style w:type="table" w:customStyle="1" w:styleId="159">
    <w:name w:val="List Table 6 Colorful - Accent 2"/>
    <w:qFormat/>
    <w:uiPriority w:val="99"/>
    <w:tblPr>
      <w:tblBorders>
        <w:top w:val="single" w:color="D99695" w:sz="4" w:space="0"/>
        <w:bottom w:val="single" w:color="D99695" w:sz="4" w:space="0"/>
      </w:tblBorders>
      <w:tblCellMar>
        <w:top w:w="0" w:type="dxa"/>
        <w:left w:w="0" w:type="dxa"/>
        <w:bottom w:w="0" w:type="dxa"/>
        <w:right w:w="0" w:type="dxa"/>
      </w:tblCellMar>
    </w:tblPr>
  </w:style>
  <w:style w:type="table" w:customStyle="1" w:styleId="160">
    <w:name w:val="List Table 6 Colorful - Accent 3"/>
    <w:qFormat/>
    <w:uiPriority w:val="99"/>
    <w:tblPr>
      <w:tblBorders>
        <w:top w:val="single" w:color="C3D69B" w:sz="4" w:space="0"/>
        <w:bottom w:val="single" w:color="C3D69B" w:sz="4" w:space="0"/>
      </w:tblBorders>
      <w:tblCellMar>
        <w:top w:w="0" w:type="dxa"/>
        <w:left w:w="0" w:type="dxa"/>
        <w:bottom w:w="0" w:type="dxa"/>
        <w:right w:w="0" w:type="dxa"/>
      </w:tblCellMar>
    </w:tblPr>
  </w:style>
  <w:style w:type="table" w:customStyle="1" w:styleId="161">
    <w:name w:val="List Table 6 Colorful - Accent 4"/>
    <w:qFormat/>
    <w:uiPriority w:val="99"/>
    <w:tblPr>
      <w:tblBorders>
        <w:top w:val="single" w:color="B2A1C6" w:sz="4" w:space="0"/>
        <w:bottom w:val="single" w:color="B2A1C6" w:sz="4" w:space="0"/>
      </w:tblBorders>
      <w:tblCellMar>
        <w:top w:w="0" w:type="dxa"/>
        <w:left w:w="0" w:type="dxa"/>
        <w:bottom w:w="0" w:type="dxa"/>
        <w:right w:w="0" w:type="dxa"/>
      </w:tblCellMar>
    </w:tblPr>
  </w:style>
  <w:style w:type="table" w:customStyle="1" w:styleId="162">
    <w:name w:val="List Table 6 Colorful - Accent 5"/>
    <w:qFormat/>
    <w:uiPriority w:val="99"/>
    <w:tblPr>
      <w:tblBorders>
        <w:top w:val="single" w:color="92CCDC" w:sz="4" w:space="0"/>
        <w:bottom w:val="single" w:color="92CCDC" w:sz="4" w:space="0"/>
      </w:tblBorders>
      <w:tblCellMar>
        <w:top w:w="0" w:type="dxa"/>
        <w:left w:w="0" w:type="dxa"/>
        <w:bottom w:w="0" w:type="dxa"/>
        <w:right w:w="0" w:type="dxa"/>
      </w:tblCellMar>
    </w:tblPr>
  </w:style>
  <w:style w:type="table" w:customStyle="1" w:styleId="163">
    <w:name w:val="List Table 6 Colorful - Accent 6"/>
    <w:qFormat/>
    <w:uiPriority w:val="99"/>
    <w:tblPr>
      <w:tblBorders>
        <w:top w:val="single" w:color="FAC090" w:sz="4" w:space="0"/>
        <w:bottom w:val="single" w:color="FAC090" w:sz="4" w:space="0"/>
      </w:tblBorders>
      <w:tblCellMar>
        <w:top w:w="0" w:type="dxa"/>
        <w:left w:w="0" w:type="dxa"/>
        <w:bottom w:w="0" w:type="dxa"/>
        <w:right w:w="0" w:type="dxa"/>
      </w:tblCellMar>
    </w:tblPr>
  </w:style>
  <w:style w:type="table" w:customStyle="1" w:styleId="164">
    <w:name w:val="清单表 7 彩色1"/>
    <w:qFormat/>
    <w:uiPriority w:val="99"/>
    <w:tblPr>
      <w:tblBorders>
        <w:right w:val="single" w:color="7F7F7F" w:sz="4" w:space="0"/>
      </w:tblBorders>
      <w:tblCellMar>
        <w:top w:w="0" w:type="dxa"/>
        <w:left w:w="0" w:type="dxa"/>
        <w:bottom w:w="0" w:type="dxa"/>
        <w:right w:w="0" w:type="dxa"/>
      </w:tblCellMar>
    </w:tblPr>
  </w:style>
  <w:style w:type="table" w:customStyle="1" w:styleId="165">
    <w:name w:val="List Table 7 Colorful - Accent 1"/>
    <w:qFormat/>
    <w:uiPriority w:val="99"/>
    <w:tblPr>
      <w:tblBorders>
        <w:right w:val="single" w:color="4F81BD" w:sz="4" w:space="0"/>
      </w:tblBorders>
      <w:tblCellMar>
        <w:top w:w="0" w:type="dxa"/>
        <w:left w:w="0" w:type="dxa"/>
        <w:bottom w:w="0" w:type="dxa"/>
        <w:right w:w="0" w:type="dxa"/>
      </w:tblCellMar>
    </w:tblPr>
  </w:style>
  <w:style w:type="table" w:customStyle="1" w:styleId="166">
    <w:name w:val="List Table 7 Colorful - Accent 2"/>
    <w:qFormat/>
    <w:uiPriority w:val="99"/>
    <w:tblPr>
      <w:tblBorders>
        <w:right w:val="single" w:color="D99695" w:sz="4" w:space="0"/>
      </w:tblBorders>
      <w:tblCellMar>
        <w:top w:w="0" w:type="dxa"/>
        <w:left w:w="0" w:type="dxa"/>
        <w:bottom w:w="0" w:type="dxa"/>
        <w:right w:w="0" w:type="dxa"/>
      </w:tblCellMar>
    </w:tblPr>
  </w:style>
  <w:style w:type="table" w:customStyle="1" w:styleId="167">
    <w:name w:val="List Table 7 Colorful - Accent 3"/>
    <w:qFormat/>
    <w:uiPriority w:val="99"/>
    <w:tblPr>
      <w:tblBorders>
        <w:right w:val="single" w:color="C3D69B" w:sz="4" w:space="0"/>
      </w:tblBorders>
      <w:tblCellMar>
        <w:top w:w="0" w:type="dxa"/>
        <w:left w:w="0" w:type="dxa"/>
        <w:bottom w:w="0" w:type="dxa"/>
        <w:right w:w="0" w:type="dxa"/>
      </w:tblCellMar>
    </w:tblPr>
  </w:style>
  <w:style w:type="table" w:customStyle="1" w:styleId="168">
    <w:name w:val="List Table 7 Colorful - Accent 4"/>
    <w:qFormat/>
    <w:uiPriority w:val="99"/>
    <w:tblPr>
      <w:tblBorders>
        <w:right w:val="single" w:color="B2A1C6" w:sz="4" w:space="0"/>
      </w:tblBorders>
      <w:tblCellMar>
        <w:top w:w="0" w:type="dxa"/>
        <w:left w:w="0" w:type="dxa"/>
        <w:bottom w:w="0" w:type="dxa"/>
        <w:right w:w="0" w:type="dxa"/>
      </w:tblCellMar>
    </w:tblPr>
  </w:style>
  <w:style w:type="table" w:customStyle="1" w:styleId="169">
    <w:name w:val="List Table 7 Colorful - Accent 5"/>
    <w:qFormat/>
    <w:uiPriority w:val="99"/>
    <w:tblPr>
      <w:tblBorders>
        <w:right w:val="single" w:color="92CCDC" w:sz="4" w:space="0"/>
      </w:tblBorders>
      <w:tblCellMar>
        <w:top w:w="0" w:type="dxa"/>
        <w:left w:w="0" w:type="dxa"/>
        <w:bottom w:w="0" w:type="dxa"/>
        <w:right w:w="0" w:type="dxa"/>
      </w:tblCellMar>
    </w:tblPr>
  </w:style>
  <w:style w:type="table" w:customStyle="1" w:styleId="170">
    <w:name w:val="List Table 7 Colorful - Accent 6"/>
    <w:qFormat/>
    <w:uiPriority w:val="99"/>
    <w:tblPr>
      <w:tblBorders>
        <w:right w:val="single" w:color="FAC090" w:sz="4" w:space="0"/>
      </w:tblBorders>
      <w:tblCellMar>
        <w:top w:w="0" w:type="dxa"/>
        <w:left w:w="0" w:type="dxa"/>
        <w:bottom w:w="0" w:type="dxa"/>
        <w:right w:w="0" w:type="dxa"/>
      </w:tblCellMar>
    </w:tblPr>
  </w:style>
  <w:style w:type="table" w:customStyle="1" w:styleId="171">
    <w:name w:val="Lined - Accent"/>
    <w:qFormat/>
    <w:uiPriority w:val="99"/>
    <w:rPr>
      <w:color w:val="404040"/>
    </w:rPr>
    <w:tblPr>
      <w:tblCellMar>
        <w:top w:w="0" w:type="dxa"/>
        <w:left w:w="0" w:type="dxa"/>
        <w:bottom w:w="0" w:type="dxa"/>
        <w:right w:w="0" w:type="dxa"/>
      </w:tblCellMar>
    </w:tblPr>
  </w:style>
  <w:style w:type="table" w:customStyle="1" w:styleId="172">
    <w:name w:val="Lined - Accent 1"/>
    <w:qFormat/>
    <w:uiPriority w:val="99"/>
    <w:rPr>
      <w:color w:val="404040"/>
    </w:rPr>
    <w:tblPr>
      <w:tblCellMar>
        <w:top w:w="0" w:type="dxa"/>
        <w:left w:w="0" w:type="dxa"/>
        <w:bottom w:w="0" w:type="dxa"/>
        <w:right w:w="0" w:type="dxa"/>
      </w:tblCellMar>
    </w:tblPr>
  </w:style>
  <w:style w:type="table" w:customStyle="1" w:styleId="173">
    <w:name w:val="Lined - Accent 2"/>
    <w:qFormat/>
    <w:uiPriority w:val="99"/>
    <w:rPr>
      <w:color w:val="404040"/>
    </w:rPr>
    <w:tblPr>
      <w:tblCellMar>
        <w:top w:w="0" w:type="dxa"/>
        <w:left w:w="0" w:type="dxa"/>
        <w:bottom w:w="0" w:type="dxa"/>
        <w:right w:w="0" w:type="dxa"/>
      </w:tblCellMar>
    </w:tblPr>
  </w:style>
  <w:style w:type="table" w:customStyle="1" w:styleId="174">
    <w:name w:val="Lined - Accent 3"/>
    <w:qFormat/>
    <w:uiPriority w:val="99"/>
    <w:rPr>
      <w:color w:val="404040"/>
    </w:rPr>
    <w:tblPr>
      <w:tblCellMar>
        <w:top w:w="0" w:type="dxa"/>
        <w:left w:w="0" w:type="dxa"/>
        <w:bottom w:w="0" w:type="dxa"/>
        <w:right w:w="0" w:type="dxa"/>
      </w:tblCellMar>
    </w:tblPr>
  </w:style>
  <w:style w:type="table" w:customStyle="1" w:styleId="175">
    <w:name w:val="Lined - Accent 4"/>
    <w:qFormat/>
    <w:uiPriority w:val="99"/>
    <w:rPr>
      <w:color w:val="404040"/>
    </w:rPr>
    <w:tblPr>
      <w:tblCellMar>
        <w:top w:w="0" w:type="dxa"/>
        <w:left w:w="0" w:type="dxa"/>
        <w:bottom w:w="0" w:type="dxa"/>
        <w:right w:w="0" w:type="dxa"/>
      </w:tblCellMar>
    </w:tblPr>
  </w:style>
  <w:style w:type="table" w:customStyle="1" w:styleId="176">
    <w:name w:val="Lined - Accent 5"/>
    <w:qFormat/>
    <w:uiPriority w:val="99"/>
    <w:rPr>
      <w:color w:val="404040"/>
    </w:rPr>
    <w:tblPr>
      <w:tblCellMar>
        <w:top w:w="0" w:type="dxa"/>
        <w:left w:w="0" w:type="dxa"/>
        <w:bottom w:w="0" w:type="dxa"/>
        <w:right w:w="0" w:type="dxa"/>
      </w:tblCellMar>
    </w:tblPr>
  </w:style>
  <w:style w:type="table" w:customStyle="1" w:styleId="177">
    <w:name w:val="Lined - Accent 6"/>
    <w:qFormat/>
    <w:uiPriority w:val="99"/>
    <w:rPr>
      <w:color w:val="404040"/>
    </w:rPr>
    <w:tblPr>
      <w:tblCellMar>
        <w:top w:w="0" w:type="dxa"/>
        <w:left w:w="0" w:type="dxa"/>
        <w:bottom w:w="0" w:type="dxa"/>
        <w:right w:w="0" w:type="dxa"/>
      </w:tblCellMar>
    </w:tblPr>
  </w:style>
  <w:style w:type="table" w:customStyle="1" w:styleId="178">
    <w:name w:val="Bordered &amp; Lined - Accent"/>
    <w:qFormat/>
    <w:uiPriority w:val="99"/>
    <w:rPr>
      <w:color w:val="404040"/>
    </w:rPr>
    <w:tblPr>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top w:w="0" w:type="dxa"/>
        <w:left w:w="0" w:type="dxa"/>
        <w:bottom w:w="0" w:type="dxa"/>
        <w:right w:w="0" w:type="dxa"/>
      </w:tblCellMar>
    </w:tblPr>
  </w:style>
  <w:style w:type="table" w:customStyle="1" w:styleId="179">
    <w:name w:val="Bordered &amp; Lined - Accent 1"/>
    <w:qFormat/>
    <w:uiPriority w:val="99"/>
    <w:rPr>
      <w:color w:val="404040"/>
    </w:rPr>
    <w:tblPr>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CellMar>
        <w:top w:w="0" w:type="dxa"/>
        <w:left w:w="0" w:type="dxa"/>
        <w:bottom w:w="0" w:type="dxa"/>
        <w:right w:w="0" w:type="dxa"/>
      </w:tblCellMar>
    </w:tblPr>
  </w:style>
  <w:style w:type="table" w:customStyle="1" w:styleId="180">
    <w:name w:val="Bordered &amp; Lined - Accent 2"/>
    <w:qFormat/>
    <w:uiPriority w:val="99"/>
    <w:rPr>
      <w:color w:val="404040"/>
    </w:rPr>
    <w:tblPr>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CellMar>
        <w:top w:w="0" w:type="dxa"/>
        <w:left w:w="0" w:type="dxa"/>
        <w:bottom w:w="0" w:type="dxa"/>
        <w:right w:w="0" w:type="dxa"/>
      </w:tblCellMar>
    </w:tblPr>
  </w:style>
  <w:style w:type="table" w:customStyle="1" w:styleId="181">
    <w:name w:val="Bordered &amp; Lined - Accent 3"/>
    <w:qFormat/>
    <w:uiPriority w:val="99"/>
    <w:rPr>
      <w:color w:val="404040"/>
    </w:rPr>
    <w:tblPr>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CellMar>
        <w:top w:w="0" w:type="dxa"/>
        <w:left w:w="0" w:type="dxa"/>
        <w:bottom w:w="0" w:type="dxa"/>
        <w:right w:w="0" w:type="dxa"/>
      </w:tblCellMar>
    </w:tblPr>
  </w:style>
  <w:style w:type="table" w:customStyle="1" w:styleId="182">
    <w:name w:val="Bordered &amp; Lined - Accent 4"/>
    <w:qFormat/>
    <w:uiPriority w:val="99"/>
    <w:rPr>
      <w:color w:val="404040"/>
    </w:rPr>
    <w:tblPr>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CellMar>
        <w:top w:w="0" w:type="dxa"/>
        <w:left w:w="0" w:type="dxa"/>
        <w:bottom w:w="0" w:type="dxa"/>
        <w:right w:w="0" w:type="dxa"/>
      </w:tblCellMar>
    </w:tblPr>
  </w:style>
  <w:style w:type="table" w:customStyle="1" w:styleId="183">
    <w:name w:val="Bordered &amp; Lined - Accent 5"/>
    <w:qFormat/>
    <w:uiPriority w:val="99"/>
    <w:rPr>
      <w:color w:val="404040"/>
    </w:rPr>
    <w:tblPr>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CellMar>
        <w:top w:w="0" w:type="dxa"/>
        <w:left w:w="0" w:type="dxa"/>
        <w:bottom w:w="0" w:type="dxa"/>
        <w:right w:w="0" w:type="dxa"/>
      </w:tblCellMar>
    </w:tblPr>
  </w:style>
  <w:style w:type="table" w:customStyle="1" w:styleId="184">
    <w:name w:val="Bordered &amp; Lined - Accent 6"/>
    <w:qFormat/>
    <w:uiPriority w:val="99"/>
    <w:rPr>
      <w:color w:val="404040"/>
    </w:rPr>
    <w:tblPr>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CellMar>
        <w:top w:w="0" w:type="dxa"/>
        <w:left w:w="0" w:type="dxa"/>
        <w:bottom w:w="0" w:type="dxa"/>
        <w:right w:w="0" w:type="dxa"/>
      </w:tblCellMar>
    </w:tblPr>
  </w:style>
  <w:style w:type="table" w:customStyle="1" w:styleId="185">
    <w:name w:val="Bordered"/>
    <w:qFormat/>
    <w:uiPriority w:val="99"/>
    <w:tblPr>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0" w:type="dxa"/>
        <w:left w:w="0" w:type="dxa"/>
        <w:bottom w:w="0" w:type="dxa"/>
        <w:right w:w="0" w:type="dxa"/>
      </w:tblCellMar>
    </w:tblPr>
  </w:style>
  <w:style w:type="table" w:customStyle="1" w:styleId="186">
    <w:name w:val="Bordered - Accent 1"/>
    <w:qFormat/>
    <w:uiPriority w:val="99"/>
    <w:tblPr>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top w:w="0" w:type="dxa"/>
        <w:left w:w="0" w:type="dxa"/>
        <w:bottom w:w="0" w:type="dxa"/>
        <w:right w:w="0" w:type="dxa"/>
      </w:tblCellMar>
    </w:tblPr>
  </w:style>
  <w:style w:type="table" w:customStyle="1" w:styleId="187">
    <w:name w:val="Bordered - Accent 2"/>
    <w:qFormat/>
    <w:uiPriority w:val="99"/>
    <w:tblPr>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top w:w="0" w:type="dxa"/>
        <w:left w:w="0" w:type="dxa"/>
        <w:bottom w:w="0" w:type="dxa"/>
        <w:right w:w="0" w:type="dxa"/>
      </w:tblCellMar>
    </w:tblPr>
  </w:style>
  <w:style w:type="table" w:customStyle="1" w:styleId="188">
    <w:name w:val="Bordered - Accent 3"/>
    <w:qFormat/>
    <w:uiPriority w:val="99"/>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top w:w="0" w:type="dxa"/>
        <w:left w:w="0" w:type="dxa"/>
        <w:bottom w:w="0" w:type="dxa"/>
        <w:right w:w="0" w:type="dxa"/>
      </w:tblCellMar>
    </w:tblPr>
  </w:style>
  <w:style w:type="table" w:customStyle="1" w:styleId="189">
    <w:name w:val="Bordered - Accent 4"/>
    <w:qFormat/>
    <w:uiPriority w:val="99"/>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top w:w="0" w:type="dxa"/>
        <w:left w:w="0" w:type="dxa"/>
        <w:bottom w:w="0" w:type="dxa"/>
        <w:right w:w="0" w:type="dxa"/>
      </w:tblCellMar>
    </w:tblPr>
  </w:style>
  <w:style w:type="table" w:customStyle="1" w:styleId="190">
    <w:name w:val="Bordered - Accent 5"/>
    <w:qFormat/>
    <w:uiPriority w:val="99"/>
    <w:tblPr>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0" w:type="dxa"/>
        <w:left w:w="0" w:type="dxa"/>
        <w:bottom w:w="0" w:type="dxa"/>
        <w:right w:w="0" w:type="dxa"/>
      </w:tblCellMar>
    </w:tblPr>
  </w:style>
  <w:style w:type="table" w:customStyle="1" w:styleId="191">
    <w:name w:val="Bordered - Accent 6"/>
    <w:qFormat/>
    <w:uiPriority w:val="99"/>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0" w:type="dxa"/>
        <w:left w:w="0" w:type="dxa"/>
        <w:bottom w:w="0" w:type="dxa"/>
        <w:right w:w="0" w:type="dxa"/>
      </w:tblCellMar>
    </w:tblPr>
  </w:style>
  <w:style w:type="character" w:customStyle="1" w:styleId="192">
    <w:name w:val="脚注文本 字符"/>
    <w:link w:val="29"/>
    <w:qFormat/>
    <w:uiPriority w:val="99"/>
    <w:rPr>
      <w:sz w:val="18"/>
    </w:rPr>
  </w:style>
  <w:style w:type="character" w:customStyle="1" w:styleId="193">
    <w:name w:val="尾注文本 字符"/>
    <w:link w:val="22"/>
    <w:qFormat/>
    <w:uiPriority w:val="99"/>
    <w:rPr>
      <w:sz w:val="20"/>
    </w:rPr>
  </w:style>
  <w:style w:type="paragraph" w:customStyle="1" w:styleId="194">
    <w:name w:val="TOC 标题1"/>
    <w:unhideWhenUsed/>
    <w:qFormat/>
    <w:uiPriority w:val="39"/>
    <w:rPr>
      <w:rFonts w:ascii="Times New Roman" w:hAnsi="Times New Roman" w:eastAsia="宋体" w:cs="Times New Roman"/>
      <w:lang w:val="en-US" w:eastAsia="zh-CN" w:bidi="ar-SA"/>
    </w:rPr>
  </w:style>
  <w:style w:type="character" w:customStyle="1" w:styleId="195">
    <w:name w:val="正文缩进 字符"/>
    <w:qFormat/>
    <w:uiPriority w:val="0"/>
    <w:rPr>
      <w:rFonts w:ascii="Calibri" w:hAnsi="Calibri"/>
      <w:sz w:val="21"/>
      <w:szCs w:val="22"/>
    </w:rPr>
  </w:style>
  <w:style w:type="character" w:customStyle="1" w:styleId="196">
    <w:name w:val="标题 1 字符"/>
    <w:link w:val="2"/>
    <w:qFormat/>
    <w:uiPriority w:val="0"/>
    <w:rPr>
      <w:b/>
      <w:bCs/>
      <w:sz w:val="32"/>
      <w:szCs w:val="44"/>
    </w:rPr>
  </w:style>
  <w:style w:type="character" w:customStyle="1" w:styleId="197">
    <w:name w:val="标题 4 字符"/>
    <w:link w:val="5"/>
    <w:qFormat/>
    <w:uiPriority w:val="0"/>
    <w:rPr>
      <w:rFonts w:ascii="Arial" w:hAnsi="Arial" w:eastAsia="黑体"/>
      <w:b/>
      <w:bCs/>
      <w:sz w:val="28"/>
      <w:szCs w:val="28"/>
    </w:rPr>
  </w:style>
  <w:style w:type="character" w:customStyle="1" w:styleId="198">
    <w:name w:val="文档结构图 字符"/>
    <w:link w:val="14"/>
    <w:qFormat/>
    <w:uiPriority w:val="0"/>
    <w:rPr>
      <w:rFonts w:ascii="宋体"/>
      <w:sz w:val="18"/>
      <w:szCs w:val="18"/>
    </w:rPr>
  </w:style>
  <w:style w:type="character" w:customStyle="1" w:styleId="199">
    <w:name w:val="批注文字 字符"/>
    <w:link w:val="15"/>
    <w:semiHidden/>
    <w:qFormat/>
    <w:uiPriority w:val="0"/>
    <w:rPr>
      <w:sz w:val="21"/>
      <w:szCs w:val="24"/>
    </w:rPr>
  </w:style>
  <w:style w:type="character" w:customStyle="1" w:styleId="200">
    <w:name w:val="正文文本 字符"/>
    <w:link w:val="16"/>
    <w:qFormat/>
    <w:uiPriority w:val="0"/>
    <w:rPr>
      <w:sz w:val="21"/>
    </w:rPr>
  </w:style>
  <w:style w:type="character" w:customStyle="1" w:styleId="201">
    <w:name w:val="正文文本缩进 2 字符"/>
    <w:link w:val="21"/>
    <w:qFormat/>
    <w:uiPriority w:val="0"/>
    <w:rPr>
      <w:sz w:val="21"/>
      <w:szCs w:val="24"/>
    </w:rPr>
  </w:style>
  <w:style w:type="character" w:customStyle="1" w:styleId="202">
    <w:name w:val="p141"/>
    <w:qFormat/>
    <w:uiPriority w:val="0"/>
    <w:rPr>
      <w:sz w:val="21"/>
      <w:szCs w:val="21"/>
    </w:rPr>
  </w:style>
  <w:style w:type="character" w:customStyle="1" w:styleId="203">
    <w:name w:val="正文文本 Char1"/>
    <w:qFormat/>
    <w:uiPriority w:val="0"/>
    <w:rPr>
      <w:sz w:val="21"/>
      <w:szCs w:val="24"/>
    </w:rPr>
  </w:style>
  <w:style w:type="character" w:customStyle="1" w:styleId="204">
    <w:name w:val="正文缩进 字符1"/>
    <w:link w:val="12"/>
    <w:qFormat/>
    <w:uiPriority w:val="0"/>
    <w:rPr>
      <w:sz w:val="24"/>
    </w:rPr>
  </w:style>
  <w:style w:type="character" w:customStyle="1" w:styleId="205">
    <w:name w:val="批注文字 Char2"/>
    <w:link w:val="206"/>
    <w:qFormat/>
    <w:uiPriority w:val="0"/>
    <w:rPr>
      <w:rFonts w:ascii="Calibri" w:hAnsi="Calibri"/>
      <w:sz w:val="21"/>
      <w:szCs w:val="22"/>
    </w:rPr>
  </w:style>
  <w:style w:type="paragraph" w:customStyle="1" w:styleId="206">
    <w:name w:val="批注文字_0"/>
    <w:basedOn w:val="1"/>
    <w:link w:val="205"/>
    <w:qFormat/>
    <w:uiPriority w:val="0"/>
    <w:pPr>
      <w:jc w:val="left"/>
    </w:pPr>
    <w:rPr>
      <w:szCs w:val="22"/>
    </w:rPr>
  </w:style>
  <w:style w:type="character" w:customStyle="1" w:styleId="207">
    <w:name w:val="段 Char"/>
    <w:link w:val="208"/>
    <w:qFormat/>
    <w:uiPriority w:val="0"/>
    <w:rPr>
      <w:rFonts w:ascii="宋体"/>
      <w:sz w:val="21"/>
      <w:lang w:bidi="ar-SA"/>
    </w:rPr>
  </w:style>
  <w:style w:type="paragraph" w:customStyle="1" w:styleId="208">
    <w:name w:val="段"/>
    <w:link w:val="207"/>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209">
    <w:name w:val="批注引用_0"/>
    <w:qFormat/>
    <w:uiPriority w:val="0"/>
    <w:rPr>
      <w:rFonts w:ascii="Tahoma" w:hAnsi="Tahoma"/>
      <w:sz w:val="21"/>
      <w:szCs w:val="21"/>
    </w:rPr>
  </w:style>
  <w:style w:type="paragraph" w:customStyle="1" w:styleId="210">
    <w:name w:val="正文_0"/>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211">
    <w:name w:val="正文表标题"/>
    <w:next w:val="208"/>
    <w:qFormat/>
    <w:uiPriority w:val="0"/>
    <w:pPr>
      <w:numPr>
        <w:ilvl w:val="0"/>
        <w:numId w:val="1"/>
      </w:numPr>
      <w:tabs>
        <w:tab w:val="left" w:pos="360"/>
      </w:tabs>
      <w:spacing w:before="156" w:after="156"/>
      <w:jc w:val="center"/>
    </w:pPr>
    <w:rPr>
      <w:rFonts w:ascii="黑体" w:hAnsi="Times New Roman" w:eastAsia="黑体" w:cs="Times New Roman"/>
      <w:sz w:val="21"/>
      <w:lang w:val="en-US" w:eastAsia="zh-CN" w:bidi="ar-SA"/>
    </w:rPr>
  </w:style>
  <w:style w:type="paragraph" w:customStyle="1" w:styleId="212">
    <w:name w:val="1"/>
    <w:basedOn w:val="1"/>
    <w:next w:val="19"/>
    <w:qFormat/>
    <w:uiPriority w:val="0"/>
    <w:rPr>
      <w:rFonts w:ascii="宋体" w:hAnsi="Courier New"/>
    </w:rPr>
  </w:style>
  <w:style w:type="paragraph" w:customStyle="1" w:styleId="213">
    <w:name w:val="注：（正文）"/>
    <w:basedOn w:val="1"/>
    <w:next w:val="208"/>
    <w:qFormat/>
    <w:uiPriority w:val="0"/>
    <w:pPr>
      <w:numPr>
        <w:ilvl w:val="0"/>
        <w:numId w:val="2"/>
      </w:numPr>
      <w:autoSpaceDE w:val="0"/>
      <w:autoSpaceDN w:val="0"/>
    </w:pPr>
    <w:rPr>
      <w:rFonts w:ascii="宋体"/>
      <w:sz w:val="18"/>
      <w:szCs w:val="18"/>
    </w:rPr>
  </w:style>
  <w:style w:type="paragraph" w:customStyle="1" w:styleId="214">
    <w:name w:val="修订1"/>
    <w:semiHidden/>
    <w:qFormat/>
    <w:uiPriority w:val="0"/>
    <w:rPr>
      <w:rFonts w:ascii="Times New Roman" w:hAnsi="Times New Roman" w:eastAsia="宋体" w:cs="Times New Roman"/>
      <w:sz w:val="21"/>
      <w:szCs w:val="24"/>
      <w:lang w:val="en-US" w:eastAsia="zh-CN" w:bidi="ar-SA"/>
    </w:rPr>
  </w:style>
  <w:style w:type="paragraph" w:customStyle="1" w:styleId="215">
    <w:name w:val="130"/>
    <w:basedOn w:val="1"/>
    <w:qFormat/>
    <w:uiPriority w:val="0"/>
    <w:pPr>
      <w:widowControl/>
      <w:spacing w:before="100" w:beforeAutospacing="1" w:after="100" w:afterAutospacing="1" w:line="324" w:lineRule="auto"/>
      <w:jc w:val="left"/>
    </w:pPr>
    <w:rPr>
      <w:rFonts w:ascii="宋体" w:hAnsi="宋体"/>
      <w:color w:val="000000"/>
      <w:sz w:val="24"/>
    </w:rPr>
  </w:style>
  <w:style w:type="paragraph" w:customStyle="1" w:styleId="216">
    <w:name w:val="五级条标题"/>
    <w:basedOn w:val="217"/>
    <w:next w:val="208"/>
    <w:qFormat/>
    <w:uiPriority w:val="0"/>
    <w:pPr>
      <w:numPr>
        <w:ilvl w:val="5"/>
      </w:numPr>
      <w:outlineLvl w:val="6"/>
    </w:pPr>
  </w:style>
  <w:style w:type="paragraph" w:customStyle="1" w:styleId="217">
    <w:name w:val="四级条标题"/>
    <w:basedOn w:val="1"/>
    <w:next w:val="208"/>
    <w:qFormat/>
    <w:uiPriority w:val="0"/>
    <w:pPr>
      <w:widowControl/>
      <w:numPr>
        <w:ilvl w:val="4"/>
        <w:numId w:val="3"/>
      </w:numPr>
      <w:spacing w:before="50" w:after="50"/>
      <w:jc w:val="left"/>
      <w:outlineLvl w:val="5"/>
    </w:pPr>
    <w:rPr>
      <w:rFonts w:ascii="黑体" w:eastAsia="黑体"/>
      <w:szCs w:val="21"/>
    </w:rPr>
  </w:style>
  <w:style w:type="paragraph" w:customStyle="1" w:styleId="218">
    <w:name w:val="一级条标题"/>
    <w:next w:val="208"/>
    <w:qFormat/>
    <w:uiPriority w:val="0"/>
    <w:pPr>
      <w:numPr>
        <w:ilvl w:val="1"/>
        <w:numId w:val="3"/>
      </w:numPr>
      <w:spacing w:before="156" w:after="156"/>
      <w:outlineLvl w:val="2"/>
    </w:pPr>
    <w:rPr>
      <w:rFonts w:ascii="黑体" w:hAnsi="Times New Roman" w:eastAsia="黑体" w:cs="Times New Roman"/>
      <w:sz w:val="21"/>
      <w:szCs w:val="21"/>
      <w:lang w:val="en-US" w:eastAsia="zh-CN" w:bidi="ar-SA"/>
    </w:rPr>
  </w:style>
  <w:style w:type="paragraph" w:customStyle="1" w:styleId="219">
    <w:name w:val="列项——（一级）"/>
    <w:qFormat/>
    <w:uiPriority w:val="0"/>
    <w:pPr>
      <w:widowControl w:val="0"/>
      <w:numPr>
        <w:ilvl w:val="0"/>
        <w:numId w:val="4"/>
      </w:numPr>
      <w:jc w:val="both"/>
    </w:pPr>
    <w:rPr>
      <w:rFonts w:ascii="宋体" w:hAnsi="Times New Roman" w:eastAsia="宋体" w:cs="Times New Roman"/>
      <w:sz w:val="21"/>
      <w:lang w:val="en-US" w:eastAsia="zh-CN" w:bidi="ar-SA"/>
    </w:rPr>
  </w:style>
  <w:style w:type="paragraph" w:customStyle="1" w:styleId="220">
    <w:name w:val="章标题"/>
    <w:next w:val="208"/>
    <w:qFormat/>
    <w:uiPriority w:val="0"/>
    <w:pPr>
      <w:numPr>
        <w:ilvl w:val="0"/>
        <w:numId w:val="3"/>
      </w:numPr>
      <w:spacing w:before="312" w:after="312"/>
      <w:jc w:val="both"/>
      <w:outlineLvl w:val="1"/>
    </w:pPr>
    <w:rPr>
      <w:rFonts w:ascii="黑体" w:hAnsi="Times New Roman" w:eastAsia="黑体" w:cs="Times New Roman"/>
      <w:sz w:val="21"/>
      <w:lang w:val="en-US" w:eastAsia="zh-CN" w:bidi="ar-SA"/>
    </w:rPr>
  </w:style>
  <w:style w:type="paragraph" w:customStyle="1" w:styleId="221">
    <w:name w:val="Char Char Char Char Char Char Char Char Char Char"/>
    <w:basedOn w:val="1"/>
    <w:qFormat/>
    <w:uiPriority w:val="0"/>
    <w:rPr>
      <w:rFonts w:ascii="Tahoma" w:hAnsi="Tahoma"/>
      <w:sz w:val="24"/>
    </w:rPr>
  </w:style>
  <w:style w:type="paragraph" w:customStyle="1" w:styleId="222">
    <w:name w:val="注×：（正文）"/>
    <w:qFormat/>
    <w:uiPriority w:val="0"/>
    <w:pPr>
      <w:numPr>
        <w:ilvl w:val="0"/>
        <w:numId w:val="5"/>
      </w:numPr>
      <w:jc w:val="both"/>
    </w:pPr>
    <w:rPr>
      <w:rFonts w:ascii="宋体" w:hAnsi="Times New Roman" w:eastAsia="宋体" w:cs="Times New Roman"/>
      <w:sz w:val="18"/>
      <w:szCs w:val="18"/>
      <w:lang w:val="en-US" w:eastAsia="zh-CN" w:bidi="ar-SA"/>
    </w:rPr>
  </w:style>
  <w:style w:type="paragraph" w:customStyle="1" w:styleId="223">
    <w:name w:val="字母编号列项（一级）"/>
    <w:qFormat/>
    <w:uiPriority w:val="0"/>
    <w:pPr>
      <w:numPr>
        <w:ilvl w:val="0"/>
        <w:numId w:val="6"/>
      </w:numPr>
      <w:jc w:val="both"/>
    </w:pPr>
    <w:rPr>
      <w:rFonts w:ascii="宋体" w:hAnsi="Times New Roman" w:eastAsia="宋体" w:cs="Times New Roman"/>
      <w:sz w:val="21"/>
      <w:lang w:val="en-US" w:eastAsia="zh-CN" w:bidi="ar-SA"/>
    </w:rPr>
  </w:style>
  <w:style w:type="paragraph" w:customStyle="1" w:styleId="224">
    <w:name w:val="列项●（二级）"/>
    <w:qFormat/>
    <w:uiPriority w:val="0"/>
    <w:pPr>
      <w:numPr>
        <w:ilvl w:val="1"/>
        <w:numId w:val="4"/>
      </w:numPr>
      <w:tabs>
        <w:tab w:val="left" w:pos="840"/>
      </w:tabs>
      <w:jc w:val="both"/>
    </w:pPr>
    <w:rPr>
      <w:rFonts w:ascii="宋体" w:hAnsi="Times New Roman" w:eastAsia="宋体" w:cs="Times New Roman"/>
      <w:sz w:val="21"/>
      <w:lang w:val="en-US" w:eastAsia="zh-CN" w:bidi="ar-SA"/>
    </w:rPr>
  </w:style>
  <w:style w:type="paragraph" w:customStyle="1" w:styleId="225">
    <w:name w:val="正文_4"/>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226">
    <w:name w:val="样式 New"/>
    <w:basedOn w:val="1"/>
    <w:next w:val="1"/>
    <w:qFormat/>
    <w:uiPriority w:val="0"/>
    <w:pPr>
      <w:ind w:left="572" w:right="32" w:firstLine="478"/>
    </w:pPr>
  </w:style>
  <w:style w:type="paragraph" w:customStyle="1" w:styleId="227">
    <w:name w:val="数字编号列项（二级）"/>
    <w:qFormat/>
    <w:uiPriority w:val="0"/>
    <w:pPr>
      <w:numPr>
        <w:ilvl w:val="1"/>
        <w:numId w:val="6"/>
      </w:numPr>
      <w:jc w:val="both"/>
    </w:pPr>
    <w:rPr>
      <w:rFonts w:ascii="宋体" w:hAnsi="Times New Roman" w:eastAsia="宋体" w:cs="Times New Roman"/>
      <w:sz w:val="21"/>
      <w:lang w:val="en-US" w:eastAsia="zh-CN" w:bidi="ar-SA"/>
    </w:rPr>
  </w:style>
  <w:style w:type="paragraph" w:customStyle="1" w:styleId="228">
    <w:name w:val="方案正文"/>
    <w:basedOn w:val="1"/>
    <w:qFormat/>
    <w:uiPriority w:val="0"/>
    <w:pPr>
      <w:spacing w:line="360" w:lineRule="auto"/>
      <w:ind w:firstLine="643" w:firstLineChars="200"/>
    </w:pPr>
    <w:rPr>
      <w:szCs w:val="22"/>
    </w:rPr>
  </w:style>
  <w:style w:type="paragraph" w:customStyle="1" w:styleId="229">
    <w:name w:val="二级条标题"/>
    <w:basedOn w:val="218"/>
    <w:next w:val="208"/>
    <w:qFormat/>
    <w:uiPriority w:val="0"/>
    <w:pPr>
      <w:numPr>
        <w:ilvl w:val="2"/>
      </w:numPr>
      <w:spacing w:before="50" w:after="50"/>
      <w:outlineLvl w:val="3"/>
    </w:pPr>
  </w:style>
  <w:style w:type="paragraph" w:customStyle="1" w:styleId="230">
    <w:name w:val="列项◆（三级）"/>
    <w:basedOn w:val="1"/>
    <w:qFormat/>
    <w:uiPriority w:val="0"/>
    <w:pPr>
      <w:numPr>
        <w:ilvl w:val="2"/>
        <w:numId w:val="4"/>
      </w:numPr>
    </w:pPr>
    <w:rPr>
      <w:rFonts w:ascii="宋体"/>
      <w:szCs w:val="21"/>
    </w:rPr>
  </w:style>
  <w:style w:type="paragraph" w:customStyle="1" w:styleId="231">
    <w:name w:val="Default"/>
    <w:qFormat/>
    <w:uiPriority w:val="0"/>
    <w:pPr>
      <w:widowControl w:val="0"/>
      <w:autoSpaceDE w:val="0"/>
      <w:autoSpaceDN w:val="0"/>
    </w:pPr>
    <w:rPr>
      <w:rFonts w:ascii="仿宋" w:hAnsi="仿宋" w:eastAsia="宋体" w:cs="Times New Roman"/>
      <w:color w:val="000000"/>
      <w:sz w:val="24"/>
      <w:szCs w:val="24"/>
      <w:lang w:val="en-US" w:eastAsia="zh-CN" w:bidi="ar-SA"/>
    </w:rPr>
  </w:style>
  <w:style w:type="paragraph" w:styleId="232">
    <w:name w:val="List Paragraph"/>
    <w:basedOn w:val="1"/>
    <w:qFormat/>
    <w:uiPriority w:val="0"/>
    <w:pPr>
      <w:spacing w:before="312" w:line="360" w:lineRule="auto"/>
      <w:ind w:left="425" w:firstLine="420" w:firstLineChars="200"/>
    </w:pPr>
    <w:rPr>
      <w:szCs w:val="22"/>
    </w:rPr>
  </w:style>
  <w:style w:type="paragraph" w:customStyle="1" w:styleId="233">
    <w:name w:val="Char Char1 Char Char Char Char Char Char Char Char Char Char"/>
    <w:basedOn w:val="1"/>
    <w:qFormat/>
    <w:uiPriority w:val="0"/>
    <w:rPr>
      <w:rFonts w:ascii="Tahoma" w:hAnsi="Tahoma"/>
      <w:sz w:val="24"/>
    </w:rPr>
  </w:style>
  <w:style w:type="paragraph" w:customStyle="1" w:styleId="234">
    <w:name w:val="三级条标题"/>
    <w:basedOn w:val="229"/>
    <w:next w:val="208"/>
    <w:qFormat/>
    <w:uiPriority w:val="0"/>
    <w:pPr>
      <w:numPr>
        <w:ilvl w:val="0"/>
        <w:numId w:val="0"/>
      </w:numPr>
      <w:outlineLvl w:val="4"/>
    </w:pPr>
  </w:style>
  <w:style w:type="character" w:customStyle="1" w:styleId="235">
    <w:name w:val="font161"/>
    <w:qFormat/>
    <w:uiPriority w:val="0"/>
    <w:rPr>
      <w:rFonts w:ascii="宋体" w:hAnsi="宋体" w:eastAsia="宋体"/>
      <w:b/>
      <w:bCs/>
      <w:color w:val="000000"/>
      <w:sz w:val="28"/>
      <w:szCs w:val="28"/>
      <w:u w:val="none"/>
    </w:rPr>
  </w:style>
  <w:style w:type="character" w:customStyle="1" w:styleId="236">
    <w:name w:val="font171"/>
    <w:qFormat/>
    <w:uiPriority w:val="0"/>
    <w:rPr>
      <w:rFonts w:ascii="宋体" w:hAnsi="宋体" w:eastAsia="宋体"/>
      <w:color w:val="000000"/>
      <w:sz w:val="22"/>
      <w:szCs w:val="22"/>
      <w:u w:val="none"/>
    </w:rPr>
  </w:style>
  <w:style w:type="character" w:customStyle="1" w:styleId="237">
    <w:name w:val="font181"/>
    <w:qFormat/>
    <w:uiPriority w:val="0"/>
    <w:rPr>
      <w:rFonts w:ascii="宋体" w:hAnsi="宋体" w:eastAsia="宋体"/>
      <w:color w:val="FF0000"/>
      <w:sz w:val="22"/>
      <w:szCs w:val="22"/>
      <w:u w:val="none"/>
    </w:rPr>
  </w:style>
  <w:style w:type="character" w:customStyle="1" w:styleId="238">
    <w:name w:val="font81"/>
    <w:qFormat/>
    <w:uiPriority w:val="0"/>
    <w:rPr>
      <w:rFonts w:ascii="宋体" w:hAnsi="宋体" w:eastAsia="宋体"/>
      <w:color w:val="000000"/>
      <w:sz w:val="22"/>
      <w:szCs w:val="22"/>
      <w:u w:val="none"/>
    </w:rPr>
  </w:style>
  <w:style w:type="character" w:customStyle="1" w:styleId="239">
    <w:name w:val="font112"/>
    <w:qFormat/>
    <w:uiPriority w:val="0"/>
    <w:rPr>
      <w:rFonts w:ascii="Times New Roman" w:hAnsi="Times New Roman"/>
      <w:color w:val="000000"/>
      <w:sz w:val="22"/>
      <w:szCs w:val="22"/>
      <w:u w:val="none"/>
    </w:rPr>
  </w:style>
  <w:style w:type="character" w:customStyle="1" w:styleId="240">
    <w:name w:val="font91"/>
    <w:qFormat/>
    <w:uiPriority w:val="0"/>
    <w:rPr>
      <w:rFonts w:ascii="宋体" w:hAnsi="宋体" w:eastAsia="宋体"/>
      <w:color w:val="000000"/>
      <w:sz w:val="22"/>
      <w:szCs w:val="22"/>
      <w:u w:val="none"/>
    </w:rPr>
  </w:style>
  <w:style w:type="character" w:customStyle="1" w:styleId="241">
    <w:name w:val="font61"/>
    <w:qFormat/>
    <w:uiPriority w:val="0"/>
    <w:rPr>
      <w:rFonts w:ascii="宋体" w:hAnsi="宋体" w:eastAsia="宋体"/>
      <w:color w:val="000000"/>
      <w:sz w:val="22"/>
      <w:szCs w:val="22"/>
      <w:u w:val="none"/>
    </w:rPr>
  </w:style>
  <w:style w:type="character" w:customStyle="1" w:styleId="242">
    <w:name w:val="font191"/>
    <w:qFormat/>
    <w:uiPriority w:val="0"/>
    <w:rPr>
      <w:rFonts w:ascii="Times New Roman" w:hAnsi="Times New Roman"/>
      <w:color w:val="000000"/>
      <w:sz w:val="22"/>
      <w:szCs w:val="22"/>
      <w:u w:val="none"/>
    </w:rPr>
  </w:style>
  <w:style w:type="character" w:customStyle="1" w:styleId="243">
    <w:name w:val="font101"/>
    <w:qFormat/>
    <w:uiPriority w:val="0"/>
    <w:rPr>
      <w:rFonts w:ascii="宋体" w:hAnsi="宋体" w:eastAsia="宋体"/>
      <w:color w:val="000000"/>
      <w:sz w:val="22"/>
      <w:szCs w:val="22"/>
      <w:u w:val="none"/>
    </w:rPr>
  </w:style>
  <w:style w:type="character" w:customStyle="1" w:styleId="244">
    <w:name w:val="font201"/>
    <w:qFormat/>
    <w:uiPriority w:val="0"/>
    <w:rPr>
      <w:rFonts w:ascii="Times New Roman" w:hAnsi="Times New Roman"/>
      <w:color w:val="000000"/>
      <w:sz w:val="22"/>
      <w:szCs w:val="22"/>
      <w:u w:val="none"/>
    </w:rPr>
  </w:style>
  <w:style w:type="paragraph" w:customStyle="1" w:styleId="245">
    <w:name w:val="Revision"/>
    <w:hidden/>
    <w:unhideWhenUsed/>
    <w:qFormat/>
    <w:uiPriority w:val="99"/>
    <w:rPr>
      <w:rFonts w:ascii="Calibri" w:hAnsi="Calibri" w:eastAsia="宋体" w:cs="Times New Roman"/>
      <w:sz w:val="21"/>
      <w:lang w:val="en-US" w:eastAsia="zh-CN" w:bidi="ar-SA"/>
    </w:rPr>
  </w:style>
  <w:style w:type="character" w:customStyle="1" w:styleId="246">
    <w:name w:val="Unresolved Mention"/>
    <w:basedOn w:val="3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2088</Words>
  <Characters>2107</Characters>
  <Lines>69</Lines>
  <Paragraphs>19</Paragraphs>
  <TotalTime>15</TotalTime>
  <ScaleCrop>false</ScaleCrop>
  <LinksUpToDate>false</LinksUpToDate>
  <CharactersWithSpaces>2116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2026-05-13T06:55:00Z</dcterms:created>
  <dc:creator>his</dc:creator>
  <cp:lastModifiedBy>余宇劲</cp:lastModifiedBy>
  <cp:lastPrinted>2026-06-30T05:10:00Z</cp:lastPrinted>
  <dcterms:modified xsi:type="dcterms:W3CDTF">2026-08-07T06:32:05Z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eyJoZGlkIjoiZjhiY2RiNzAyNDg4ZTc0Y2UzZDEyZmQ5ZjAxYTI0NjIiLCJ1c2VySWQiOiIxNjU3NTQwNzA2In0=</vt:lpwstr>
  </property>
  <property fmtid="{D5CDD505-2E9C-101B-9397-08002B2CF9AE}" pid="3" name="KSOProductBuildVer">
    <vt:lpwstr>2052-12.1.0.28043</vt:lpwstr>
  </property>
  <property fmtid="{D5CDD505-2E9C-101B-9397-08002B2CF9AE}" pid="4" name="ICV">
    <vt:lpwstr>1B2F69AE956E42C884FF4161E5F88DD1_13</vt:lpwstr>
  </property>
</Properties>
</file>