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5E0407">
      <w:pPr>
        <w:spacing w:after="240" w:line="560" w:lineRule="exact"/>
        <w:ind w:firstLine="720"/>
        <w:jc w:val="center"/>
        <w:rPr>
          <w:rFonts w:hint="eastAsia" w:ascii="宋体" w:hAnsi="宋体" w:eastAsia="宋体" w:cs="宋体"/>
          <w:color w:val="auto"/>
          <w:sz w:val="36"/>
          <w:szCs w:val="36"/>
          <w:highlight w:val="none"/>
        </w:rPr>
      </w:pPr>
      <w:bookmarkStart w:id="0" w:name="_Toc101775124"/>
      <w:bookmarkStart w:id="1" w:name="_Toc401575143"/>
      <w:bookmarkStart w:id="2" w:name="_Toc301300420"/>
      <w:bookmarkStart w:id="3" w:name="_Toc101951257"/>
      <w:bookmarkStart w:id="4" w:name="_Toc301534864"/>
      <w:bookmarkStart w:id="5" w:name="_Toc175644388"/>
      <w:bookmarkStart w:id="6" w:name="_Toc403491565"/>
      <w:bookmarkStart w:id="7" w:name="_Toc301359849"/>
      <w:bookmarkStart w:id="8" w:name="_Toc37245277"/>
      <w:bookmarkStart w:id="9" w:name="_Toc301619555"/>
      <w:bookmarkStart w:id="10" w:name="_Toc301617481"/>
      <w:bookmarkStart w:id="11" w:name="_Toc304227767"/>
      <w:bookmarkStart w:id="12" w:name="_Toc101843124"/>
      <w:bookmarkStart w:id="13" w:name="_Toc301364301"/>
      <w:bookmarkStart w:id="14" w:name="_Toc101771371"/>
      <w:bookmarkStart w:id="15" w:name="_Toc301195207"/>
      <w:r>
        <w:rPr>
          <w:rFonts w:hint="eastAsia" w:ascii="宋体" w:hAnsi="宋体" w:eastAsia="宋体" w:cs="宋体"/>
          <w:color w:val="auto"/>
          <w:sz w:val="36"/>
          <w:szCs w:val="36"/>
          <w:highlight w:val="none"/>
        </w:rPr>
        <w:t>中山大学附属第一（南沙）医院桌面终端硬件及应用维护外包服务招标项目需求书</w:t>
      </w:r>
    </w:p>
    <w:p w14:paraId="185730BF">
      <w:pPr>
        <w:pStyle w:val="3"/>
        <w:spacing w:after="0"/>
        <w:ind w:firstLine="0" w:firstLineChars="0"/>
        <w:rPr>
          <w:rFonts w:ascii="宋体" w:hAnsi="宋体" w:cs="宋体"/>
          <w:color w:val="auto"/>
          <w:sz w:val="32"/>
          <w:szCs w:val="32"/>
          <w:highlight w:val="none"/>
        </w:rPr>
      </w:pPr>
      <w:r>
        <w:rPr>
          <w:rFonts w:hint="eastAsia" w:ascii="宋体" w:hAnsi="宋体" w:cs="宋体"/>
          <w:color w:val="auto"/>
          <w:sz w:val="32"/>
          <w:szCs w:val="32"/>
          <w:highlight w:val="none"/>
        </w:rPr>
        <w:t>一、项目概述</w:t>
      </w:r>
    </w:p>
    <w:p w14:paraId="63F5D405">
      <w:pPr>
        <w:pStyle w:val="2"/>
        <w:rPr>
          <w:rFonts w:hint="eastAsia" w:ascii="宋体" w:hAnsi="宋体" w:cs="宋体"/>
          <w:color w:val="auto"/>
          <w:highlight w:val="none"/>
        </w:rPr>
      </w:pPr>
      <w:r>
        <w:rPr>
          <w:rFonts w:hint="eastAsia" w:ascii="宋体" w:hAnsi="宋体" w:eastAsia="宋体" w:cs="宋体"/>
          <w:b/>
          <w:color w:val="auto"/>
          <w:sz w:val="21"/>
          <w:szCs w:val="21"/>
          <w:highlight w:val="none"/>
          <w:lang w:val="en-US" w:eastAsia="zh-CN" w:bidi="ar-SA"/>
        </w:rPr>
        <w:t>1.1 项目名称：</w:t>
      </w:r>
      <w:r>
        <w:rPr>
          <w:rFonts w:hint="eastAsia" w:ascii="宋体" w:hAnsi="宋体" w:cs="宋体"/>
          <w:color w:val="auto"/>
          <w:highlight w:val="none"/>
        </w:rPr>
        <w:t>中山大学附属第一（南沙）医院终端硬件、应用及基础环境运维服务项目</w:t>
      </w:r>
    </w:p>
    <w:p w14:paraId="68D3AC57">
      <w:pPr>
        <w:pStyle w:val="4"/>
        <w:spacing w:before="156" w:after="156"/>
        <w:ind w:firstLine="422"/>
        <w:rPr>
          <w:rFonts w:hint="eastAsia" w:cs="宋体"/>
          <w:color w:val="auto"/>
          <w:sz w:val="21"/>
          <w:szCs w:val="21"/>
          <w:highlight w:val="none"/>
        </w:rPr>
      </w:pPr>
      <w:r>
        <w:rPr>
          <w:rFonts w:hint="eastAsia" w:cs="宋体"/>
          <w:color w:val="auto"/>
          <w:sz w:val="21"/>
          <w:szCs w:val="21"/>
          <w:highlight w:val="none"/>
        </w:rPr>
        <w:t>1.2 项目目标</w:t>
      </w:r>
    </w:p>
    <w:p w14:paraId="1B876E5C">
      <w:pPr>
        <w:pStyle w:val="2"/>
        <w:rPr>
          <w:rFonts w:hint="eastAsia" w:ascii="宋体" w:hAnsi="宋体" w:cs="宋体"/>
          <w:color w:val="auto"/>
          <w:highlight w:val="none"/>
        </w:rPr>
      </w:pPr>
      <w:r>
        <w:rPr>
          <w:rFonts w:hint="eastAsia" w:ascii="宋体" w:hAnsi="宋体" w:cs="宋体"/>
          <w:color w:val="auto"/>
          <w:highlight w:val="none"/>
        </w:rPr>
        <w:t>根据医院信息化要求，通过专业运维服务与配件供应，提高故障修复效率，保证设备运行的质量。</w:t>
      </w:r>
    </w:p>
    <w:p w14:paraId="35A1705A">
      <w:pPr>
        <w:pStyle w:val="4"/>
        <w:spacing w:before="156" w:after="156"/>
        <w:ind w:firstLine="422"/>
        <w:rPr>
          <w:rFonts w:hint="eastAsia" w:cs="宋体"/>
          <w:color w:val="auto"/>
          <w:sz w:val="21"/>
          <w:szCs w:val="21"/>
          <w:highlight w:val="none"/>
        </w:rPr>
      </w:pPr>
      <w:r>
        <w:rPr>
          <w:rFonts w:hint="eastAsia" w:cs="宋体"/>
          <w:color w:val="auto"/>
          <w:sz w:val="21"/>
          <w:szCs w:val="21"/>
          <w:highlight w:val="none"/>
        </w:rPr>
        <w:t>1.3 服务地点和工期：</w:t>
      </w:r>
    </w:p>
    <w:p w14:paraId="0D5FF7A1">
      <w:pPr>
        <w:pStyle w:val="2"/>
        <w:rPr>
          <w:rFonts w:hint="eastAsia" w:ascii="宋体" w:hAnsi="宋体" w:cs="宋体"/>
          <w:color w:val="auto"/>
          <w:highlight w:val="none"/>
        </w:rPr>
      </w:pPr>
      <w:r>
        <w:rPr>
          <w:rFonts w:hint="eastAsia" w:ascii="宋体" w:hAnsi="宋体" w:cs="宋体"/>
          <w:color w:val="auto"/>
          <w:highlight w:val="none"/>
        </w:rPr>
        <w:t>本项目实施地点：广州市南沙区横沥镇明珠湾起步区横沥岛西侧中山大学附属第一（南沙）医院，实施周期为期12个月（自采购人首次通知中标人入场时间起）。</w:t>
      </w:r>
    </w:p>
    <w:p w14:paraId="35AB812E">
      <w:pPr>
        <w:pStyle w:val="4"/>
        <w:spacing w:before="156" w:after="156"/>
        <w:ind w:firstLine="422"/>
        <w:rPr>
          <w:rFonts w:cs="宋体"/>
          <w:color w:val="auto"/>
          <w:sz w:val="21"/>
          <w:szCs w:val="21"/>
          <w:highlight w:val="none"/>
        </w:rPr>
      </w:pPr>
      <w:r>
        <w:rPr>
          <w:rFonts w:hint="eastAsia" w:cs="宋体"/>
          <w:color w:val="auto"/>
          <w:sz w:val="21"/>
          <w:szCs w:val="21"/>
          <w:highlight w:val="none"/>
        </w:rPr>
        <w:t>1.4 项目内容</w:t>
      </w:r>
    </w:p>
    <w:p w14:paraId="0F878334">
      <w:pPr>
        <w:ind w:firstLine="0" w:firstLineChars="0"/>
        <w:rPr>
          <w:rFonts w:ascii="宋体" w:hAnsi="宋体" w:cs="宋体"/>
          <w:b/>
          <w:color w:val="auto"/>
          <w:highlight w:val="none"/>
        </w:rPr>
      </w:pPr>
      <w:r>
        <w:rPr>
          <w:rFonts w:hint="eastAsia" w:ascii="宋体" w:hAnsi="宋体" w:cs="宋体"/>
          <w:b/>
          <w:color w:val="auto"/>
          <w:highlight w:val="none"/>
        </w:rPr>
        <w:t xml:space="preserve">    （一）项目背景</w:t>
      </w:r>
    </w:p>
    <w:p w14:paraId="5CC10BED">
      <w:pPr>
        <w:pStyle w:val="2"/>
        <w:rPr>
          <w:rFonts w:ascii="宋体" w:hAnsi="宋体" w:cs="宋体"/>
          <w:color w:val="auto"/>
          <w:highlight w:val="none"/>
        </w:rPr>
      </w:pPr>
      <w:r>
        <w:rPr>
          <w:rFonts w:hint="eastAsia" w:ascii="宋体" w:hAnsi="宋体" w:cs="宋体"/>
          <w:color w:val="auto"/>
          <w:highlight w:val="none"/>
        </w:rPr>
        <w:t>由于医院医疗业务和内部管理均与信息系统息息相关，计算机、打印机等信息终端设备是否正常使用</w:t>
      </w:r>
      <w:r>
        <w:rPr>
          <w:rFonts w:hint="eastAsia" w:ascii="宋体" w:hAnsi="宋体" w:cs="宋体"/>
          <w:color w:val="auto"/>
          <w:highlight w:val="none"/>
          <w:lang w:eastAsia="zh-CN"/>
        </w:rPr>
        <w:t>将直接影响</w:t>
      </w:r>
      <w:r>
        <w:rPr>
          <w:rFonts w:hint="eastAsia" w:ascii="宋体" w:hAnsi="宋体" w:cs="宋体"/>
          <w:color w:val="auto"/>
          <w:highlight w:val="none"/>
        </w:rPr>
        <w:t>用户日常工作，医院存在办公区空间面积较大、设备数量庞大且分散、信息系统繁多且复杂等客观因素，通过实施有效的维护管理方式来保证计算机、打印机等信息终端设备硬件及应用的稳定运行，同时完善服务管理体系，更好</w:t>
      </w:r>
      <w:r>
        <w:rPr>
          <w:rFonts w:hint="eastAsia" w:ascii="宋体" w:hAnsi="宋体" w:cs="宋体"/>
          <w:color w:val="auto"/>
          <w:highlight w:val="none"/>
          <w:lang w:eastAsia="zh-CN"/>
        </w:rPr>
        <w:t>地</w:t>
      </w:r>
      <w:r>
        <w:rPr>
          <w:rFonts w:hint="eastAsia" w:ascii="宋体" w:hAnsi="宋体" w:cs="宋体"/>
          <w:color w:val="auto"/>
          <w:highlight w:val="none"/>
        </w:rPr>
        <w:t>发挥信息服务部的核心价值和减少维护投资成本，降低维护成本</w:t>
      </w:r>
      <w:r>
        <w:rPr>
          <w:rFonts w:hint="eastAsia" w:ascii="宋体" w:hAnsi="宋体" w:cs="宋体"/>
          <w:color w:val="auto"/>
          <w:highlight w:val="none"/>
          <w:lang w:eastAsia="zh-CN"/>
        </w:rPr>
        <w:t>，</w:t>
      </w:r>
      <w:r>
        <w:rPr>
          <w:rFonts w:hint="eastAsia" w:ascii="宋体" w:hAnsi="宋体" w:cs="宋体"/>
          <w:color w:val="auto"/>
          <w:sz w:val="21"/>
          <w:szCs w:val="21"/>
          <w:highlight w:val="none"/>
          <w:lang w:bidi="ar-SA"/>
        </w:rPr>
        <w:t>最大化盘活现有信息化资产、延长设备使用周期，</w:t>
      </w:r>
      <w:r>
        <w:rPr>
          <w:rFonts w:hint="eastAsia" w:ascii="宋体" w:hAnsi="宋体" w:cs="宋体"/>
          <w:color w:val="auto"/>
          <w:highlight w:val="none"/>
        </w:rPr>
        <w:t>以支持医院生产任务和管理办公的顺利进行。</w:t>
      </w:r>
    </w:p>
    <w:p w14:paraId="74F3591D">
      <w:pPr>
        <w:rPr>
          <w:rFonts w:ascii="宋体" w:hAnsi="宋体" w:cs="宋体"/>
          <w:color w:val="auto"/>
          <w:highlight w:val="none"/>
        </w:rPr>
      </w:pPr>
      <w:r>
        <w:rPr>
          <w:rFonts w:hint="eastAsia" w:ascii="宋体" w:hAnsi="宋体" w:cs="宋体"/>
          <w:color w:val="auto"/>
          <w:highlight w:val="none"/>
        </w:rPr>
        <w:t>出于上述因素考虑，同时也为降低维护成本、完善服务管理体系等方面考虑，以及确保在现有人力资源情况下为医院相关信息系统的使用提供及时到位的IT运维技术支持服务，医院将计算机、打印机等信息终端设备硬件及应用维护服务外包给专业IT运维服务公司，由乙方提供及时、有效的计算机、打印机等信息终端设备硬件及应用的维护服务。</w:t>
      </w:r>
    </w:p>
    <w:p w14:paraId="36AE9B75">
      <w:pPr>
        <w:ind w:firstLine="0" w:firstLineChars="0"/>
        <w:rPr>
          <w:rFonts w:ascii="宋体" w:hAnsi="宋体" w:cs="宋体"/>
          <w:color w:val="auto"/>
          <w:highlight w:val="none"/>
        </w:rPr>
      </w:pPr>
      <w:r>
        <w:rPr>
          <w:rFonts w:hint="eastAsia" w:ascii="宋体" w:hAnsi="宋体" w:cs="宋体"/>
          <w:b/>
          <w:color w:val="auto"/>
          <w:highlight w:val="none"/>
        </w:rPr>
        <w:t xml:space="preserve">    （二）服务内容</w:t>
      </w:r>
    </w:p>
    <w:p w14:paraId="638E9CF6">
      <w:pPr>
        <w:pStyle w:val="21"/>
        <w:rPr>
          <w:rFonts w:ascii="宋体" w:hAnsi="宋体" w:cs="宋体"/>
          <w:color w:val="auto"/>
          <w:szCs w:val="21"/>
          <w:highlight w:val="none"/>
        </w:rPr>
      </w:pPr>
      <w:r>
        <w:rPr>
          <w:rFonts w:hint="eastAsia" w:ascii="宋体" w:hAnsi="宋体" w:cs="宋体"/>
          <w:color w:val="auto"/>
          <w:szCs w:val="21"/>
          <w:highlight w:val="none"/>
        </w:rPr>
        <w:t>负责计算机、打印机等桌面终端设备</w:t>
      </w:r>
      <w:r>
        <w:rPr>
          <w:rFonts w:hint="eastAsia" w:ascii="宋体" w:hAnsi="宋体" w:cs="宋体"/>
          <w:color w:val="auto"/>
          <w:kern w:val="0"/>
          <w:szCs w:val="21"/>
          <w:highlight w:val="none"/>
        </w:rPr>
        <w:t>硬件及应用</w:t>
      </w:r>
      <w:r>
        <w:rPr>
          <w:rFonts w:hint="eastAsia" w:ascii="宋体" w:hAnsi="宋体" w:cs="宋体"/>
          <w:color w:val="auto"/>
          <w:szCs w:val="21"/>
          <w:highlight w:val="none"/>
        </w:rPr>
        <w:t>的巡检及维护，协助院内设备全生命周期管理、故障设备维护、设备定期日常维护保养、设备定期巡检、设备资产清点、设备质控检查、协助重大信息系统专项升级保障，新开科室</w:t>
      </w:r>
      <w:r>
        <w:rPr>
          <w:rFonts w:ascii="宋体" w:hAnsi="宋体" w:cs="宋体"/>
          <w:color w:val="auto"/>
          <w:kern w:val="0"/>
          <w:szCs w:val="21"/>
          <w:highlight w:val="none"/>
          <w:lang w:bidi="ar"/>
        </w:rPr>
        <w:t>搭建</w:t>
      </w:r>
      <w:r>
        <w:rPr>
          <w:rFonts w:hint="eastAsia" w:ascii="宋体" w:hAnsi="宋体" w:cs="宋体"/>
          <w:color w:val="auto"/>
          <w:kern w:val="0"/>
          <w:szCs w:val="21"/>
          <w:highlight w:val="none"/>
          <w:lang w:bidi="ar"/>
        </w:rPr>
        <w:t>，科室搬迁</w:t>
      </w:r>
      <w:r>
        <w:rPr>
          <w:rFonts w:ascii="宋体" w:hAnsi="宋体" w:cs="宋体"/>
          <w:color w:val="auto"/>
          <w:kern w:val="0"/>
          <w:szCs w:val="21"/>
          <w:highlight w:val="none"/>
          <w:lang w:bidi="ar"/>
        </w:rPr>
        <w:t>和后续稳定运行，工作内容涵盖硬件</w:t>
      </w:r>
      <w:r>
        <w:rPr>
          <w:rFonts w:hint="eastAsia" w:ascii="宋体" w:hAnsi="宋体" w:cs="宋体"/>
          <w:color w:val="auto"/>
          <w:kern w:val="0"/>
          <w:szCs w:val="21"/>
          <w:highlight w:val="none"/>
          <w:lang w:bidi="ar"/>
        </w:rPr>
        <w:t>维护</w:t>
      </w:r>
      <w:r>
        <w:rPr>
          <w:rFonts w:ascii="宋体" w:hAnsi="宋体" w:cs="宋体"/>
          <w:color w:val="auto"/>
          <w:kern w:val="0"/>
          <w:szCs w:val="21"/>
          <w:highlight w:val="none"/>
          <w:lang w:bidi="ar"/>
        </w:rPr>
        <w:t>、</w:t>
      </w:r>
      <w:r>
        <w:rPr>
          <w:rFonts w:hint="eastAsia" w:ascii="宋体" w:hAnsi="宋体" w:cs="宋体"/>
          <w:color w:val="auto"/>
          <w:kern w:val="0"/>
          <w:szCs w:val="21"/>
          <w:highlight w:val="none"/>
          <w:lang w:bidi="ar"/>
        </w:rPr>
        <w:t>系统</w:t>
      </w:r>
      <w:r>
        <w:rPr>
          <w:rFonts w:ascii="宋体" w:hAnsi="宋体" w:cs="宋体"/>
          <w:color w:val="auto"/>
          <w:kern w:val="0"/>
          <w:szCs w:val="21"/>
          <w:highlight w:val="none"/>
          <w:lang w:bidi="ar"/>
        </w:rPr>
        <w:t>软件配置、</w:t>
      </w:r>
      <w:r>
        <w:rPr>
          <w:rFonts w:hint="eastAsia" w:ascii="宋体" w:hAnsi="宋体" w:cs="宋体"/>
          <w:color w:val="auto"/>
          <w:kern w:val="0"/>
          <w:szCs w:val="21"/>
          <w:highlight w:val="none"/>
          <w:lang w:bidi="ar"/>
        </w:rPr>
        <w:t>弱电间</w:t>
      </w:r>
      <w:r>
        <w:rPr>
          <w:rFonts w:ascii="宋体" w:hAnsi="宋体" w:cs="宋体"/>
          <w:color w:val="auto"/>
          <w:kern w:val="0"/>
          <w:szCs w:val="21"/>
          <w:highlight w:val="none"/>
          <w:lang w:bidi="ar"/>
        </w:rPr>
        <w:t>网络调试</w:t>
      </w:r>
      <w:r>
        <w:rPr>
          <w:rFonts w:hint="eastAsia" w:ascii="宋体" w:hAnsi="宋体" w:cs="宋体"/>
          <w:color w:val="auto"/>
          <w:kern w:val="0"/>
          <w:szCs w:val="21"/>
          <w:highlight w:val="none"/>
          <w:lang w:bidi="ar"/>
        </w:rPr>
        <w:t>；</w:t>
      </w:r>
      <w:r>
        <w:rPr>
          <w:rFonts w:hint="eastAsia" w:ascii="宋体" w:hAnsi="宋体" w:cs="宋体"/>
          <w:color w:val="auto"/>
          <w:szCs w:val="21"/>
          <w:highlight w:val="none"/>
        </w:rPr>
        <w:t>协助院内信息设备盘点等服务。</w:t>
      </w:r>
    </w:p>
    <w:p w14:paraId="39D6DAA2">
      <w:pPr>
        <w:pStyle w:val="21"/>
        <w:rPr>
          <w:rFonts w:hint="eastAsia" w:ascii="宋体" w:hAnsi="宋体" w:cs="宋体"/>
          <w:color w:val="auto"/>
          <w:szCs w:val="21"/>
          <w:highlight w:val="none"/>
        </w:rPr>
      </w:pPr>
      <w:r>
        <w:rPr>
          <w:rFonts w:hint="eastAsia" w:ascii="宋体" w:hAnsi="宋体" w:cs="宋体"/>
          <w:color w:val="auto"/>
          <w:highlight w:val="none"/>
        </w:rPr>
        <w:t>在参考现有维护体系的基础上，并结合本院区情况整合管理流程，优化资源配置，通过</w:t>
      </w:r>
      <w:r>
        <w:rPr>
          <w:rFonts w:hint="eastAsia" w:ascii="宋体" w:hAnsi="宋体" w:cs="宋体"/>
          <w:color w:val="auto"/>
          <w:szCs w:val="21"/>
          <w:highlight w:val="none"/>
        </w:rPr>
        <w:t>建设全面的桌面电脑和打印机维护项目，提升医院IT基础设施的稳定性和安全性。</w:t>
      </w:r>
    </w:p>
    <w:p w14:paraId="7447724D">
      <w:pPr>
        <w:pStyle w:val="21"/>
        <w:rPr>
          <w:rFonts w:hint="eastAsia" w:ascii="宋体" w:hAnsi="宋体" w:cs="宋体"/>
          <w:color w:val="auto"/>
          <w:szCs w:val="21"/>
          <w:highlight w:val="none"/>
        </w:rPr>
      </w:pPr>
      <w:r>
        <w:rPr>
          <w:rFonts w:hint="eastAsia" w:ascii="宋体" w:hAnsi="宋体" w:cs="宋体"/>
          <w:color w:val="auto"/>
          <w:szCs w:val="21"/>
          <w:highlight w:val="none"/>
        </w:rPr>
        <w:t>服务规范：服务商具备标准化的信息技术服务规范体系，梳理现有流程，优化运维作业，保障服务质量和交付。</w:t>
      </w:r>
    </w:p>
    <w:p w14:paraId="73F8E111">
      <w:pPr>
        <w:pStyle w:val="21"/>
        <w:rPr>
          <w:rFonts w:hint="eastAsia" w:ascii="宋体" w:hAnsi="宋体" w:cs="宋体"/>
          <w:color w:val="auto"/>
          <w:szCs w:val="21"/>
          <w:highlight w:val="none"/>
        </w:rPr>
      </w:pPr>
      <w:r>
        <w:rPr>
          <w:rFonts w:hint="eastAsia" w:ascii="宋体" w:hAnsi="宋体" w:cs="宋体"/>
          <w:color w:val="auto"/>
          <w:szCs w:val="21"/>
          <w:highlight w:val="none"/>
        </w:rPr>
        <w:t>安全化：落实严格的信息安全管理，筑牢医院数据与系统安全防线，杜绝安全隐患。</w:t>
      </w:r>
    </w:p>
    <w:p w14:paraId="2DDF4C14">
      <w:pPr>
        <w:pStyle w:val="21"/>
        <w:rPr>
          <w:rFonts w:hint="eastAsia" w:ascii="宋体" w:hAnsi="宋体" w:cs="宋体"/>
          <w:color w:val="auto"/>
          <w:szCs w:val="21"/>
          <w:highlight w:val="none"/>
        </w:rPr>
      </w:pPr>
      <w:r>
        <w:rPr>
          <w:rFonts w:hint="eastAsia" w:ascii="宋体" w:hAnsi="宋体" w:cs="宋体"/>
          <w:color w:val="auto"/>
          <w:szCs w:val="21"/>
          <w:highlight w:val="none"/>
        </w:rPr>
        <w:t>技术专业：要求服务商具备成熟的技术资质与支撑能力，确保故障处置及时、技术支撑有力。</w:t>
      </w:r>
    </w:p>
    <w:p w14:paraId="6A765B54">
      <w:pPr>
        <w:pStyle w:val="21"/>
        <w:rPr>
          <w:rFonts w:hint="eastAsia" w:ascii="宋体" w:hAnsi="宋体" w:cs="宋体"/>
          <w:color w:val="auto"/>
          <w:szCs w:val="21"/>
          <w:highlight w:val="none"/>
        </w:rPr>
      </w:pPr>
      <w:r>
        <w:rPr>
          <w:rFonts w:hint="eastAsia" w:ascii="宋体" w:hAnsi="宋体" w:cs="宋体"/>
          <w:color w:val="auto"/>
          <w:szCs w:val="21"/>
          <w:highlight w:val="none"/>
        </w:rPr>
        <w:t>业务连续性：服务商具备业务连续性保障体系，确保在突发故障或特殊场景下，医疗业务的运维保障不掉线。</w:t>
      </w:r>
    </w:p>
    <w:p w14:paraId="712871D1">
      <w:pPr>
        <w:pStyle w:val="21"/>
        <w:rPr>
          <w:rFonts w:ascii="宋体" w:hAnsi="宋体" w:cs="宋体"/>
          <w:color w:val="auto"/>
          <w:szCs w:val="21"/>
          <w:highlight w:val="none"/>
        </w:rPr>
      </w:pPr>
      <w:r>
        <w:rPr>
          <w:rFonts w:hint="eastAsia" w:ascii="宋体" w:hAnsi="宋体" w:cs="宋体"/>
          <w:color w:val="auto"/>
          <w:szCs w:val="21"/>
          <w:highlight w:val="none"/>
        </w:rPr>
        <w:t>项目将对现有设备进行全面评估，制定维护计划，并通过定期的检查和更新，确保设备的最优运行状态。此外，项目还将包括对IT支持人员的培训，以提高他们对桌面设备维护的专业知识。通过实施本项目，预期将显著降低设备故障率，保障各科室的信息系统相关的软硬件设备设施的安全、稳定运行。</w:t>
      </w:r>
    </w:p>
    <w:p w14:paraId="37A340B5">
      <w:pPr>
        <w:rPr>
          <w:rFonts w:ascii="宋体" w:hAnsi="宋体" w:cs="宋体"/>
          <w:color w:val="auto"/>
          <w:highlight w:val="none"/>
        </w:rPr>
      </w:pPr>
      <w:bookmarkStart w:id="16" w:name="_Toc503255353"/>
      <w:bookmarkStart w:id="17" w:name="_Toc22265"/>
      <w:bookmarkStart w:id="18" w:name="_Toc18250"/>
      <w:bookmarkStart w:id="19" w:name="_Toc530088675"/>
      <w:bookmarkStart w:id="20" w:name="_Toc29394"/>
    </w:p>
    <w:p w14:paraId="0CF63B3F">
      <w:pPr>
        <w:pStyle w:val="3"/>
        <w:spacing w:after="0"/>
        <w:ind w:firstLine="0" w:firstLineChars="0"/>
        <w:rPr>
          <w:rFonts w:ascii="宋体" w:hAnsi="宋体" w:cs="宋体"/>
          <w:color w:val="auto"/>
          <w:sz w:val="32"/>
          <w:szCs w:val="32"/>
          <w:highlight w:val="none"/>
        </w:rPr>
      </w:pPr>
      <w:r>
        <w:rPr>
          <w:rFonts w:hint="eastAsia" w:ascii="宋体" w:hAnsi="宋体" w:cs="宋体"/>
          <w:color w:val="auto"/>
          <w:sz w:val="32"/>
          <w:szCs w:val="32"/>
          <w:highlight w:val="none"/>
        </w:rPr>
        <w:t>二、项目总体要求</w:t>
      </w:r>
      <w:bookmarkEnd w:id="16"/>
      <w:bookmarkEnd w:id="17"/>
      <w:bookmarkEnd w:id="18"/>
      <w:bookmarkEnd w:id="19"/>
      <w:bookmarkEnd w:id="20"/>
    </w:p>
    <w:p w14:paraId="5D4B8B0B">
      <w:pPr>
        <w:pStyle w:val="21"/>
        <w:rPr>
          <w:rFonts w:ascii="宋体" w:hAnsi="宋体" w:cs="宋体"/>
          <w:color w:val="auto"/>
          <w:szCs w:val="21"/>
          <w:highlight w:val="none"/>
        </w:rPr>
      </w:pPr>
      <w:r>
        <w:rPr>
          <w:rFonts w:hint="eastAsia" w:ascii="宋体" w:hAnsi="宋体" w:cs="宋体"/>
          <w:color w:val="auto"/>
          <w:szCs w:val="21"/>
          <w:highlight w:val="none"/>
        </w:rPr>
        <w:t>（1）投标报价中需包含本需求书中列出的所需服务内容，以及其他隐含的配套工作。</w:t>
      </w:r>
      <w:r>
        <w:rPr>
          <w:rFonts w:hint="eastAsia" w:ascii="宋体" w:hAnsi="宋体" w:cs="宋体"/>
          <w:b/>
          <w:color w:val="auto"/>
          <w:szCs w:val="21"/>
          <w:highlight w:val="none"/>
        </w:rPr>
        <w:t>（供应商须对“三、项目服务需求”内容的响应情况进行自查并编制需求响应表，并按具体条款要求提供佐证材料，其中★条款为必须响应条款，不响应或不完全响应将导致响应无效；▲条款不响应或不完全响应将视为严重偏离需求，但不会导致响应无效。）</w:t>
      </w:r>
    </w:p>
    <w:p w14:paraId="362216D0">
      <w:pPr>
        <w:pStyle w:val="21"/>
        <w:rPr>
          <w:rFonts w:ascii="宋体" w:hAnsi="宋体" w:cs="宋体"/>
          <w:color w:val="auto"/>
          <w:szCs w:val="21"/>
          <w:highlight w:val="none"/>
        </w:rPr>
      </w:pPr>
      <w:r>
        <w:rPr>
          <w:rFonts w:hint="eastAsia" w:ascii="宋体" w:hAnsi="宋体" w:cs="宋体"/>
          <w:color w:val="auto"/>
          <w:szCs w:val="21"/>
          <w:highlight w:val="none"/>
        </w:rPr>
        <w:t>（2）投标报价必须包含相关的费用（指1年的服务期限）有：人员费用（工资、福利、社保、劳保等）、装备、管理费用、利润、合同包含的所有风险、责任等费用以及项目管理过程中的所有由乙方承担费用的总和以及国家规定的各项税费。投标人需对项目涉及的情况和现状有深刻的了解，应考虑以上提交风险因素造成的成本增加，均由投标人承担。</w:t>
      </w:r>
    </w:p>
    <w:p w14:paraId="54D20007">
      <w:pPr>
        <w:pStyle w:val="21"/>
        <w:rPr>
          <w:rFonts w:ascii="宋体" w:hAnsi="宋体" w:cs="宋体"/>
          <w:color w:val="auto"/>
          <w:szCs w:val="21"/>
          <w:highlight w:val="none"/>
        </w:rPr>
      </w:pPr>
      <w:r>
        <w:rPr>
          <w:rFonts w:hint="eastAsia" w:ascii="宋体" w:hAnsi="宋体" w:cs="宋体"/>
          <w:color w:val="auto"/>
          <w:szCs w:val="21"/>
          <w:highlight w:val="none"/>
        </w:rPr>
        <w:t>（3）乙方就设备维护服务须安排驻场项目主管及技术工程师服务团队不少于9人岗位。</w:t>
      </w:r>
    </w:p>
    <w:p w14:paraId="1757FDEA">
      <w:pPr>
        <w:ind w:firstLine="480"/>
        <w:rPr>
          <w:rFonts w:ascii="宋体" w:hAnsi="宋体" w:cs="宋体"/>
          <w:color w:val="auto"/>
          <w:highlight w:val="none"/>
        </w:rPr>
      </w:pPr>
      <w:r>
        <w:rPr>
          <w:rFonts w:hint="eastAsia"/>
          <w:color w:val="auto"/>
          <w:sz w:val="24"/>
          <w:szCs w:val="24"/>
          <w:highlight w:val="none"/>
        </w:rPr>
        <w:t>★</w:t>
      </w:r>
      <w:r>
        <w:rPr>
          <w:rFonts w:hint="eastAsia" w:ascii="宋体" w:hAnsi="宋体" w:cs="宋体"/>
          <w:snapToGrid w:val="0"/>
          <w:color w:val="auto"/>
          <w:highlight w:val="none"/>
        </w:rPr>
        <w:t>（</w:t>
      </w:r>
      <w:r>
        <w:rPr>
          <w:rFonts w:hint="eastAsia" w:ascii="宋体" w:hAnsi="宋体" w:cs="宋体"/>
          <w:color w:val="auto"/>
          <w:highlight w:val="none"/>
        </w:rPr>
        <w:t>4）乙方必须承诺按规定与所有派驻采购人的正式员工</w:t>
      </w:r>
      <w:r>
        <w:rPr>
          <w:rFonts w:hint="eastAsia" w:ascii="宋体" w:hAnsi="宋体" w:cs="宋体"/>
          <w:color w:val="auto"/>
          <w:highlight w:val="none"/>
          <w:lang w:eastAsia="zh-CN"/>
        </w:rPr>
        <w:t>签订</w:t>
      </w:r>
      <w:r>
        <w:rPr>
          <w:rFonts w:hint="eastAsia" w:ascii="宋体" w:hAnsi="宋体" w:cs="宋体"/>
          <w:color w:val="auto"/>
          <w:highlight w:val="none"/>
        </w:rPr>
        <w:t>劳动合同和保密协议，服务团队所有人员薪酬均由乙方支付（需提供承诺函并加盖投标人公章，格式自拟）。</w:t>
      </w:r>
      <w:bookmarkStart w:id="21" w:name="_Toc18172"/>
      <w:bookmarkStart w:id="22" w:name="_Toc11473"/>
      <w:bookmarkStart w:id="23" w:name="_Toc503255354"/>
      <w:bookmarkStart w:id="24" w:name="_Toc530088676"/>
    </w:p>
    <w:bookmarkEnd w:id="21"/>
    <w:bookmarkEnd w:id="22"/>
    <w:bookmarkEnd w:id="23"/>
    <w:bookmarkEnd w:id="24"/>
    <w:p w14:paraId="25B4A6AB">
      <w:pPr>
        <w:pStyle w:val="3"/>
        <w:spacing w:after="0"/>
        <w:ind w:firstLine="0" w:firstLineChars="0"/>
        <w:rPr>
          <w:rFonts w:ascii="宋体" w:hAnsi="宋体" w:cs="宋体"/>
          <w:color w:val="auto"/>
          <w:sz w:val="32"/>
          <w:szCs w:val="32"/>
          <w:highlight w:val="none"/>
        </w:rPr>
      </w:pPr>
      <w:bookmarkStart w:id="25" w:name="_Toc22649"/>
      <w:bookmarkStart w:id="26" w:name="_Toc503255355"/>
      <w:bookmarkStart w:id="27" w:name="_Toc31738"/>
      <w:bookmarkStart w:id="28" w:name="_Toc530088677"/>
      <w:r>
        <w:rPr>
          <w:rFonts w:hint="eastAsia" w:ascii="宋体" w:hAnsi="宋体" w:cs="宋体"/>
          <w:color w:val="auto"/>
          <w:sz w:val="32"/>
          <w:szCs w:val="32"/>
          <w:highlight w:val="none"/>
        </w:rPr>
        <w:t>三、项目服务</w:t>
      </w:r>
      <w:bookmarkEnd w:id="25"/>
      <w:bookmarkEnd w:id="26"/>
      <w:bookmarkEnd w:id="27"/>
      <w:bookmarkEnd w:id="28"/>
      <w:r>
        <w:rPr>
          <w:rFonts w:hint="eastAsia" w:ascii="宋体" w:hAnsi="宋体" w:cs="宋体"/>
          <w:color w:val="auto"/>
          <w:sz w:val="32"/>
          <w:szCs w:val="32"/>
          <w:highlight w:val="none"/>
        </w:rPr>
        <w:t>需求</w:t>
      </w:r>
    </w:p>
    <w:p w14:paraId="1E6AAB7D">
      <w:pPr>
        <w:pStyle w:val="4"/>
        <w:spacing w:before="156" w:after="156"/>
        <w:ind w:firstLine="422"/>
        <w:rPr>
          <w:rFonts w:cs="宋体"/>
          <w:color w:val="auto"/>
          <w:sz w:val="21"/>
          <w:szCs w:val="21"/>
          <w:highlight w:val="none"/>
        </w:rPr>
      </w:pPr>
      <w:r>
        <w:rPr>
          <w:rFonts w:hint="eastAsia" w:cs="宋体"/>
          <w:color w:val="auto"/>
          <w:sz w:val="21"/>
          <w:szCs w:val="21"/>
          <w:highlight w:val="none"/>
        </w:rPr>
        <w:t>3.1维护服务主要区域</w:t>
      </w:r>
    </w:p>
    <w:p w14:paraId="7D41AB2E">
      <w:pPr>
        <w:pStyle w:val="21"/>
        <w:rPr>
          <w:rFonts w:ascii="宋体" w:hAnsi="宋体" w:cs="宋体"/>
          <w:color w:val="auto"/>
          <w:szCs w:val="21"/>
          <w:highlight w:val="none"/>
        </w:rPr>
      </w:pPr>
      <w:r>
        <w:rPr>
          <w:rFonts w:hint="eastAsia" w:ascii="宋体" w:hAnsi="宋体" w:cs="宋体"/>
          <w:color w:val="auto"/>
          <w:szCs w:val="21"/>
          <w:highlight w:val="none"/>
        </w:rPr>
        <w:t>本项目服务地点：中山大学附属第一（南沙）医院各临床科室及办公区域。</w:t>
      </w:r>
    </w:p>
    <w:p w14:paraId="5B50FC92">
      <w:pPr>
        <w:pStyle w:val="4"/>
        <w:spacing w:before="156" w:after="156"/>
        <w:ind w:firstLine="422"/>
        <w:rPr>
          <w:rFonts w:cs="宋体"/>
          <w:color w:val="auto"/>
          <w:sz w:val="21"/>
          <w:szCs w:val="21"/>
          <w:highlight w:val="none"/>
        </w:rPr>
      </w:pPr>
      <w:r>
        <w:rPr>
          <w:rFonts w:hint="eastAsia" w:cs="宋体"/>
          <w:color w:val="auto"/>
          <w:sz w:val="21"/>
          <w:szCs w:val="21"/>
          <w:highlight w:val="none"/>
        </w:rPr>
        <w:t>3.2 维护服务工作时间</w:t>
      </w:r>
    </w:p>
    <w:p w14:paraId="4CF6466E">
      <w:pPr>
        <w:rPr>
          <w:rFonts w:ascii="宋体" w:hAnsi="宋体" w:cs="宋体"/>
          <w:color w:val="auto"/>
          <w:highlight w:val="none"/>
        </w:rPr>
      </w:pPr>
      <w:r>
        <w:rPr>
          <w:rFonts w:hint="eastAsia" w:ascii="宋体" w:hAnsi="宋体" w:cs="宋体"/>
          <w:color w:val="auto"/>
          <w:highlight w:val="none"/>
        </w:rPr>
        <w:t>★本项目从双方签订合同指定之日起计，乙方依据本项目需求人员及配套设备在3个工作日内完成进场工作，常驻采购人指定办公区，提供计算机、打印机等桌面终端硬件及应用的维护服务。</w:t>
      </w:r>
    </w:p>
    <w:p w14:paraId="1EF8B830">
      <w:pPr>
        <w:rPr>
          <w:rFonts w:ascii="宋体" w:hAnsi="宋体" w:cs="宋体"/>
          <w:color w:val="auto"/>
          <w:highlight w:val="none"/>
        </w:rPr>
      </w:pPr>
      <w:r>
        <w:rPr>
          <w:rFonts w:hint="eastAsia" w:ascii="宋体" w:hAnsi="宋体" w:cs="宋体"/>
          <w:color w:val="auto"/>
          <w:highlight w:val="none"/>
        </w:rPr>
        <w:t>★本院区医疗服务的性质要求全工作日不停歇服务，7×24小时无间断响应模式，具体服务时间及人员安排要求如下：</w:t>
      </w:r>
    </w:p>
    <w:tbl>
      <w:tblPr>
        <w:tblStyle w:val="15"/>
        <w:tblW w:w="85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661"/>
        <w:gridCol w:w="6180"/>
      </w:tblGrid>
      <w:tr w14:paraId="14F13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7" w:type="dxa"/>
            <w:shd w:val="clear" w:color="auto" w:fill="D9D9D9"/>
          </w:tcPr>
          <w:p w14:paraId="46BED531">
            <w:pPr>
              <w:ind w:firstLine="0" w:firstLineChars="0"/>
              <w:jc w:val="center"/>
              <w:rPr>
                <w:rFonts w:ascii="宋体" w:hAnsi="宋体" w:cs="宋体"/>
                <w:color w:val="auto"/>
                <w:highlight w:val="none"/>
              </w:rPr>
            </w:pPr>
            <w:r>
              <w:rPr>
                <w:rFonts w:hint="eastAsia" w:ascii="宋体" w:hAnsi="宋体" w:cs="宋体"/>
                <w:color w:val="auto"/>
                <w:highlight w:val="none"/>
              </w:rPr>
              <w:t>序号</w:t>
            </w:r>
          </w:p>
        </w:tc>
        <w:tc>
          <w:tcPr>
            <w:tcW w:w="1661" w:type="dxa"/>
            <w:shd w:val="clear" w:color="auto" w:fill="D9D9D9"/>
          </w:tcPr>
          <w:p w14:paraId="220584C8">
            <w:pPr>
              <w:ind w:firstLine="0" w:firstLineChars="0"/>
              <w:jc w:val="center"/>
              <w:rPr>
                <w:rFonts w:ascii="宋体" w:hAnsi="宋体" w:cs="宋体"/>
                <w:color w:val="auto"/>
                <w:highlight w:val="none"/>
              </w:rPr>
            </w:pPr>
            <w:r>
              <w:rPr>
                <w:rFonts w:hint="eastAsia" w:ascii="宋体" w:hAnsi="宋体" w:cs="宋体"/>
                <w:color w:val="auto"/>
                <w:highlight w:val="none"/>
              </w:rPr>
              <w:t>工作时间</w:t>
            </w:r>
          </w:p>
        </w:tc>
        <w:tc>
          <w:tcPr>
            <w:tcW w:w="6180" w:type="dxa"/>
            <w:shd w:val="clear" w:color="auto" w:fill="D9D9D9"/>
          </w:tcPr>
          <w:p w14:paraId="48C3A72D">
            <w:pPr>
              <w:ind w:firstLine="0" w:firstLineChars="0"/>
              <w:jc w:val="center"/>
              <w:rPr>
                <w:rFonts w:ascii="宋体" w:hAnsi="宋体" w:cs="宋体"/>
                <w:color w:val="auto"/>
                <w:highlight w:val="none"/>
              </w:rPr>
            </w:pPr>
            <w:r>
              <w:rPr>
                <w:rFonts w:hint="eastAsia" w:ascii="宋体" w:hAnsi="宋体" w:cs="宋体"/>
                <w:color w:val="auto"/>
                <w:highlight w:val="none"/>
              </w:rPr>
              <w:t>要  求</w:t>
            </w:r>
          </w:p>
        </w:tc>
      </w:tr>
      <w:tr w14:paraId="3451D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7" w:type="dxa"/>
            <w:vAlign w:val="center"/>
          </w:tcPr>
          <w:p w14:paraId="05DF434C">
            <w:pPr>
              <w:ind w:firstLine="0" w:firstLineChars="0"/>
              <w:jc w:val="center"/>
              <w:rPr>
                <w:rFonts w:ascii="宋体" w:hAnsi="宋体" w:cs="宋体"/>
                <w:color w:val="auto"/>
                <w:highlight w:val="none"/>
              </w:rPr>
            </w:pPr>
            <w:r>
              <w:rPr>
                <w:rFonts w:hint="eastAsia" w:ascii="宋体" w:hAnsi="宋体" w:cs="宋体"/>
                <w:color w:val="auto"/>
                <w:highlight w:val="none"/>
              </w:rPr>
              <w:t>1</w:t>
            </w:r>
          </w:p>
        </w:tc>
        <w:tc>
          <w:tcPr>
            <w:tcW w:w="1661" w:type="dxa"/>
            <w:vAlign w:val="center"/>
          </w:tcPr>
          <w:p w14:paraId="61255F53">
            <w:pPr>
              <w:ind w:firstLine="0" w:firstLineChars="0"/>
              <w:rPr>
                <w:rFonts w:ascii="宋体" w:hAnsi="宋体" w:cs="宋体"/>
                <w:color w:val="auto"/>
                <w:highlight w:val="none"/>
              </w:rPr>
            </w:pPr>
            <w:r>
              <w:rPr>
                <w:rFonts w:hint="eastAsia" w:ascii="宋体" w:hAnsi="宋体" w:cs="宋体"/>
                <w:color w:val="auto"/>
                <w:highlight w:val="none"/>
              </w:rPr>
              <w:t>工作日（周一至周五）</w:t>
            </w:r>
          </w:p>
        </w:tc>
        <w:tc>
          <w:tcPr>
            <w:tcW w:w="6180" w:type="dxa"/>
          </w:tcPr>
          <w:p w14:paraId="69D0639C">
            <w:pPr>
              <w:pStyle w:val="22"/>
              <w:numPr>
                <w:ilvl w:val="0"/>
                <w:numId w:val="3"/>
              </w:numPr>
              <w:ind w:left="420" w:leftChars="0" w:hanging="420" w:firstLineChars="0"/>
              <w:rPr>
                <w:rFonts w:hint="eastAsia" w:ascii="宋体" w:hAnsi="宋体" w:cs="宋体"/>
                <w:color w:val="auto"/>
                <w:highlight w:val="none"/>
              </w:rPr>
            </w:pPr>
            <w:r>
              <w:rPr>
                <w:rFonts w:hint="eastAsia" w:ascii="宋体" w:hAnsi="宋体" w:cs="宋体"/>
                <w:color w:val="auto"/>
                <w:highlight w:val="none"/>
              </w:rPr>
              <w:t>白班8:30至17:30，5名工程师岗位（含现场主管）；</w:t>
            </w:r>
          </w:p>
          <w:p w14:paraId="7A8A4A9C">
            <w:pPr>
              <w:pStyle w:val="22"/>
              <w:numPr>
                <w:ilvl w:val="0"/>
                <w:numId w:val="3"/>
              </w:numPr>
              <w:ind w:left="420" w:leftChars="0" w:hanging="420" w:firstLineChars="0"/>
              <w:rPr>
                <w:rFonts w:hint="eastAsia" w:ascii="宋体" w:hAnsi="宋体" w:cs="宋体"/>
                <w:color w:val="auto"/>
                <w:highlight w:val="none"/>
              </w:rPr>
            </w:pPr>
            <w:r>
              <w:rPr>
                <w:rFonts w:hint="eastAsia" w:ascii="宋体" w:hAnsi="宋体" w:cs="宋体"/>
                <w:color w:val="auto"/>
                <w:highlight w:val="none"/>
              </w:rPr>
              <w:t>白班8:30至17:30，该时间段1名服务台在岗；</w:t>
            </w:r>
          </w:p>
          <w:p w14:paraId="72B8BDAF">
            <w:pPr>
              <w:pStyle w:val="22"/>
              <w:numPr>
                <w:ilvl w:val="0"/>
                <w:numId w:val="3"/>
              </w:numPr>
              <w:ind w:left="420" w:leftChars="0" w:hanging="420" w:firstLineChars="0"/>
              <w:rPr>
                <w:rFonts w:ascii="宋体" w:hAnsi="宋体" w:cs="宋体"/>
                <w:color w:val="auto"/>
                <w:highlight w:val="none"/>
              </w:rPr>
            </w:pPr>
            <w:r>
              <w:rPr>
                <w:rFonts w:hint="eastAsia" w:ascii="宋体" w:hAnsi="宋体" w:cs="宋体"/>
                <w:color w:val="auto"/>
                <w:highlight w:val="none"/>
              </w:rPr>
              <w:t>夜班服务时间： 17:30至次日8:30，该时间段内安排不少于1岗位轮值班服务。</w:t>
            </w:r>
          </w:p>
        </w:tc>
      </w:tr>
      <w:tr w14:paraId="52447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7" w:type="dxa"/>
            <w:vAlign w:val="center"/>
          </w:tcPr>
          <w:p w14:paraId="43284D0B">
            <w:pPr>
              <w:ind w:firstLine="0" w:firstLineChars="0"/>
              <w:jc w:val="center"/>
              <w:rPr>
                <w:rFonts w:ascii="宋体" w:hAnsi="宋体" w:cs="宋体"/>
                <w:color w:val="auto"/>
                <w:highlight w:val="none"/>
              </w:rPr>
            </w:pPr>
            <w:r>
              <w:rPr>
                <w:rFonts w:hint="eastAsia" w:ascii="宋体" w:hAnsi="宋体" w:cs="宋体"/>
                <w:color w:val="auto"/>
                <w:highlight w:val="none"/>
              </w:rPr>
              <w:t>2</w:t>
            </w:r>
          </w:p>
        </w:tc>
        <w:tc>
          <w:tcPr>
            <w:tcW w:w="1661" w:type="dxa"/>
            <w:vAlign w:val="center"/>
          </w:tcPr>
          <w:p w14:paraId="7C206AAC">
            <w:pPr>
              <w:ind w:firstLine="0" w:firstLineChars="0"/>
              <w:rPr>
                <w:rFonts w:ascii="宋体" w:hAnsi="宋体" w:cs="宋体"/>
                <w:color w:val="auto"/>
                <w:highlight w:val="none"/>
              </w:rPr>
            </w:pPr>
            <w:r>
              <w:rPr>
                <w:rFonts w:hint="eastAsia" w:ascii="宋体" w:hAnsi="宋体" w:cs="宋体"/>
                <w:color w:val="auto"/>
                <w:highlight w:val="none"/>
              </w:rPr>
              <w:t>非工作日（周六、周日及法定节假日）</w:t>
            </w:r>
          </w:p>
        </w:tc>
        <w:tc>
          <w:tcPr>
            <w:tcW w:w="6180" w:type="dxa"/>
          </w:tcPr>
          <w:p w14:paraId="02A933DC">
            <w:pPr>
              <w:pStyle w:val="22"/>
              <w:numPr>
                <w:ilvl w:val="0"/>
                <w:numId w:val="3"/>
              </w:numPr>
              <w:ind w:left="420" w:leftChars="0" w:hanging="420" w:firstLineChars="0"/>
              <w:rPr>
                <w:rFonts w:ascii="宋体" w:hAnsi="宋体" w:cs="宋体"/>
                <w:color w:val="auto"/>
                <w:highlight w:val="none"/>
              </w:rPr>
            </w:pPr>
            <w:r>
              <w:rPr>
                <w:rFonts w:hint="eastAsia" w:ascii="宋体" w:hAnsi="宋体" w:cs="宋体"/>
                <w:color w:val="auto"/>
                <w:highlight w:val="none"/>
              </w:rPr>
              <w:t>值班服务时间：上午8:30至次日8:30，该时间段内安排不少于1岗位轮值班服务。</w:t>
            </w:r>
          </w:p>
          <w:p w14:paraId="30373DA3">
            <w:pPr>
              <w:pStyle w:val="22"/>
              <w:numPr>
                <w:ilvl w:val="0"/>
                <w:numId w:val="3"/>
              </w:numPr>
              <w:ind w:left="420" w:leftChars="0" w:hanging="420" w:firstLineChars="0"/>
              <w:rPr>
                <w:rFonts w:ascii="宋体" w:hAnsi="宋体" w:cs="宋体"/>
                <w:color w:val="auto"/>
                <w:highlight w:val="none"/>
              </w:rPr>
            </w:pPr>
            <w:r>
              <w:rPr>
                <w:rFonts w:hint="eastAsia" w:ascii="宋体" w:hAnsi="宋体" w:cs="宋体"/>
                <w:color w:val="auto"/>
                <w:highlight w:val="none"/>
              </w:rPr>
              <w:t>根据医院的需求和实际情况增派人手、增加驻守时间，做到急用户所急、快速高效</w:t>
            </w:r>
            <w:r>
              <w:rPr>
                <w:rFonts w:hint="eastAsia" w:ascii="宋体" w:hAnsi="宋体" w:cs="宋体"/>
                <w:color w:val="auto"/>
                <w:highlight w:val="none"/>
                <w:lang w:eastAsia="zh-CN"/>
              </w:rPr>
              <w:t>地</w:t>
            </w:r>
            <w:r>
              <w:rPr>
                <w:rFonts w:hint="eastAsia" w:ascii="宋体" w:hAnsi="宋体" w:cs="宋体"/>
                <w:color w:val="auto"/>
                <w:highlight w:val="none"/>
              </w:rPr>
              <w:t>解决问题。</w:t>
            </w:r>
          </w:p>
        </w:tc>
      </w:tr>
    </w:tbl>
    <w:p w14:paraId="130E9BAB">
      <w:pPr>
        <w:pStyle w:val="2"/>
        <w:rPr>
          <w:rFonts w:ascii="宋体" w:hAnsi="宋体" w:cs="宋体"/>
          <w:color w:val="auto"/>
          <w:highlight w:val="none"/>
        </w:rPr>
      </w:pPr>
    </w:p>
    <w:p w14:paraId="3276AF30">
      <w:pPr>
        <w:pStyle w:val="4"/>
        <w:spacing w:before="156" w:after="156"/>
        <w:ind w:firstLine="422"/>
        <w:rPr>
          <w:rFonts w:cs="宋体"/>
          <w:color w:val="auto"/>
          <w:sz w:val="21"/>
          <w:szCs w:val="21"/>
          <w:highlight w:val="none"/>
        </w:rPr>
      </w:pPr>
      <w:r>
        <w:rPr>
          <w:rFonts w:hint="eastAsia" w:cs="宋体"/>
          <w:color w:val="auto"/>
          <w:sz w:val="21"/>
          <w:szCs w:val="21"/>
          <w:highlight w:val="none"/>
        </w:rPr>
        <w:t>3.3维护服务内容</w:t>
      </w:r>
    </w:p>
    <w:p w14:paraId="0E2B8388">
      <w:pPr>
        <w:pStyle w:val="5"/>
        <w:spacing w:before="156" w:after="156"/>
        <w:ind w:firstLine="422"/>
        <w:rPr>
          <w:rFonts w:ascii="宋体" w:hAnsi="宋体" w:cs="宋体"/>
          <w:snapToGrid w:val="0"/>
          <w:color w:val="auto"/>
          <w:sz w:val="21"/>
          <w:szCs w:val="21"/>
          <w:highlight w:val="none"/>
        </w:rPr>
      </w:pPr>
      <w:r>
        <w:rPr>
          <w:rFonts w:hint="eastAsia" w:ascii="宋体" w:hAnsi="宋体" w:cs="宋体"/>
          <w:snapToGrid w:val="0"/>
          <w:color w:val="auto"/>
          <w:sz w:val="21"/>
          <w:szCs w:val="21"/>
          <w:highlight w:val="none"/>
        </w:rPr>
        <w:t>（一）维护服务设备范围</w:t>
      </w:r>
    </w:p>
    <w:p w14:paraId="3661A9A3">
      <w:pPr>
        <w:rPr>
          <w:rFonts w:hint="eastAsia" w:ascii="宋体" w:hAnsi="宋体" w:cs="宋体"/>
          <w:snapToGrid w:val="0"/>
          <w:color w:val="auto"/>
          <w:highlight w:val="none"/>
        </w:rPr>
      </w:pPr>
      <w:r>
        <w:rPr>
          <w:rFonts w:hint="eastAsia" w:ascii="宋体" w:hAnsi="宋体" w:cs="宋体"/>
          <w:snapToGrid w:val="0"/>
          <w:color w:val="auto"/>
          <w:highlight w:val="none"/>
        </w:rPr>
        <w:t>本次的硬件外包服务是指院区内IT设备包括计算机、打印机、会议一体屏等终端设备的维护服务外包，需由乙方维护服务的终端设备，包括但不限于：</w:t>
      </w:r>
    </w:p>
    <w:p w14:paraId="55009260">
      <w:pPr>
        <w:rPr>
          <w:rFonts w:hint="eastAsia" w:ascii="宋体" w:hAnsi="宋体" w:cs="宋体"/>
          <w:snapToGrid w:val="0"/>
          <w:color w:val="auto"/>
          <w:highlight w:val="none"/>
        </w:rPr>
      </w:pPr>
      <w:r>
        <w:rPr>
          <w:rFonts w:hint="eastAsia" w:ascii="宋体" w:hAnsi="宋体" w:cs="宋体"/>
          <w:snapToGrid w:val="0"/>
          <w:color w:val="auto"/>
          <w:highlight w:val="none"/>
        </w:rPr>
        <w:t>在用计算机设备1800余台，计算机基本上都与院内办公网络互联；打印机数量约790台；其他设备数量约500台。以上设备主要品牌包括但不限于惠普、戴尔、三星、联想、HP、得实、Epson、富士施乐、兄弟、佳能、松下、IDTA等；其中</w:t>
      </w:r>
      <w:r>
        <w:rPr>
          <w:rFonts w:hint="eastAsia" w:ascii="宋体" w:hAnsi="宋体" w:cs="宋体"/>
          <w:snapToGrid w:val="0"/>
          <w:color w:val="auto"/>
          <w:highlight w:val="none"/>
          <w:lang w:val="en-US" w:eastAsia="zh-CN"/>
        </w:rPr>
        <w:t>957</w:t>
      </w:r>
      <w:r>
        <w:rPr>
          <w:rFonts w:hint="eastAsia" w:ascii="宋体" w:hAnsi="宋体" w:cs="宋体"/>
          <w:snapToGrid w:val="0"/>
          <w:color w:val="auto"/>
          <w:highlight w:val="none"/>
        </w:rPr>
        <w:t>台设备已过原厂保修期。</w:t>
      </w:r>
    </w:p>
    <w:p w14:paraId="14B2C0EF">
      <w:pPr>
        <w:pStyle w:val="5"/>
        <w:spacing w:before="156" w:after="156"/>
        <w:ind w:firstLine="422"/>
        <w:rPr>
          <w:rFonts w:ascii="宋体" w:hAnsi="宋体" w:cs="宋体"/>
          <w:snapToGrid w:val="0"/>
          <w:color w:val="auto"/>
          <w:sz w:val="21"/>
          <w:szCs w:val="21"/>
          <w:highlight w:val="none"/>
        </w:rPr>
      </w:pPr>
      <w:r>
        <w:rPr>
          <w:rFonts w:hint="eastAsia" w:ascii="宋体" w:hAnsi="宋体" w:cs="宋体"/>
          <w:snapToGrid w:val="0"/>
          <w:color w:val="auto"/>
          <w:sz w:val="21"/>
          <w:szCs w:val="21"/>
          <w:highlight w:val="none"/>
        </w:rPr>
        <w:t>（二）新增设备服务要求</w:t>
      </w:r>
    </w:p>
    <w:p w14:paraId="28A05323">
      <w:pPr>
        <w:pStyle w:val="8"/>
        <w:rPr>
          <w:rFonts w:ascii="宋体" w:hAnsi="宋体" w:cs="宋体"/>
          <w:snapToGrid w:val="0"/>
          <w:color w:val="auto"/>
          <w:highlight w:val="none"/>
        </w:rPr>
      </w:pPr>
      <w:r>
        <w:rPr>
          <w:rFonts w:hint="eastAsia" w:ascii="宋体" w:hAnsi="宋体" w:cs="宋体"/>
          <w:snapToGrid w:val="0"/>
          <w:color w:val="auto"/>
          <w:highlight w:val="none"/>
        </w:rPr>
        <w:t>（1）随着医院规模不断发展，相应设备数量还会不断增加。每年设备增长率不会低于现在所有设备数量的5%，具体数量以实际增加为准</w:t>
      </w:r>
      <w:r>
        <w:rPr>
          <w:rFonts w:hint="eastAsia" w:ascii="宋体" w:hAnsi="宋体" w:cs="宋体"/>
          <w:color w:val="auto"/>
          <w:highlight w:val="none"/>
        </w:rPr>
        <w:t>。</w:t>
      </w:r>
    </w:p>
    <w:p w14:paraId="29A2360A">
      <w:pPr>
        <w:rPr>
          <w:rFonts w:ascii="宋体" w:hAnsi="宋体" w:cs="宋体"/>
          <w:snapToGrid w:val="0"/>
          <w:color w:val="auto"/>
          <w:highlight w:val="none"/>
        </w:rPr>
      </w:pPr>
      <w:r>
        <w:rPr>
          <w:rFonts w:hint="eastAsia" w:ascii="宋体" w:hAnsi="宋体" w:cs="宋体"/>
          <w:snapToGrid w:val="0"/>
          <w:color w:val="auto"/>
          <w:highlight w:val="none"/>
        </w:rPr>
        <w:t>（2）新购设备一般有1</w:t>
      </w:r>
      <w:r>
        <w:rPr>
          <w:rFonts w:hint="eastAsia" w:ascii="宋体" w:hAnsi="宋体" w:cs="宋体"/>
          <w:snapToGrid w:val="0"/>
          <w:color w:val="auto"/>
          <w:highlight w:val="none"/>
          <w:lang w:eastAsia="zh-CN"/>
        </w:rPr>
        <w:t>—</w:t>
      </w:r>
      <w:r>
        <w:rPr>
          <w:rFonts w:hint="eastAsia" w:ascii="宋体" w:hAnsi="宋体" w:cs="宋体"/>
          <w:snapToGrid w:val="0"/>
          <w:color w:val="auto"/>
          <w:highlight w:val="none"/>
        </w:rPr>
        <w:t>5年的免费维护期，但不排除在保修期的设备在外包期间过保的可能。</w:t>
      </w:r>
    </w:p>
    <w:p w14:paraId="4EFFECAE">
      <w:pPr>
        <w:rPr>
          <w:rFonts w:ascii="宋体" w:hAnsi="宋体" w:cs="宋体"/>
          <w:snapToGrid w:val="0"/>
          <w:color w:val="auto"/>
          <w:highlight w:val="none"/>
        </w:rPr>
      </w:pPr>
      <w:r>
        <w:rPr>
          <w:rFonts w:hint="eastAsia"/>
          <w:color w:val="auto"/>
          <w:highlight w:val="none"/>
        </w:rPr>
        <w:t>★</w:t>
      </w:r>
      <w:r>
        <w:rPr>
          <w:rFonts w:hint="eastAsia" w:ascii="宋体" w:hAnsi="宋体" w:cs="宋体"/>
          <w:snapToGrid w:val="0"/>
          <w:color w:val="auto"/>
          <w:highlight w:val="none"/>
        </w:rPr>
        <w:t>（3）现有设备与将来在本项目服务期内新购设备的日常终端硬件维护服务费用都包含在本项目范围内。</w:t>
      </w:r>
    </w:p>
    <w:p w14:paraId="4B27C140">
      <w:pPr>
        <w:rPr>
          <w:rFonts w:ascii="宋体" w:hAnsi="宋体" w:cs="宋体"/>
          <w:snapToGrid w:val="0"/>
          <w:color w:val="auto"/>
          <w:highlight w:val="none"/>
        </w:rPr>
      </w:pPr>
      <w:r>
        <w:rPr>
          <w:rFonts w:hint="eastAsia" w:ascii="宋体" w:hAnsi="宋体" w:cs="宋体"/>
          <w:snapToGrid w:val="0"/>
          <w:color w:val="auto"/>
          <w:highlight w:val="none"/>
        </w:rPr>
        <w:t>（4）新设备软硬件现场安装费用都包含在设备采购项目中，由供货商负责现场安装或相关的服务费用支出，如供货商无法现场服务时由本项目承包方协助提供安装，</w:t>
      </w:r>
      <w:r>
        <w:rPr>
          <w:rFonts w:hint="eastAsia" w:ascii="宋体" w:hAnsi="宋体" w:cs="宋体"/>
          <w:snapToGrid w:val="0"/>
          <w:color w:val="auto"/>
          <w:sz w:val="21"/>
          <w:szCs w:val="21"/>
          <w:highlight w:val="none"/>
        </w:rPr>
        <w:t>其费用由供货商支付</w:t>
      </w:r>
      <w:r>
        <w:rPr>
          <w:rFonts w:hint="eastAsia" w:ascii="宋体" w:hAnsi="宋体" w:cs="宋体"/>
          <w:snapToGrid w:val="0"/>
          <w:color w:val="auto"/>
          <w:highlight w:val="none"/>
        </w:rPr>
        <w:t>。</w:t>
      </w:r>
    </w:p>
    <w:p w14:paraId="24517BC4">
      <w:pPr>
        <w:pStyle w:val="5"/>
        <w:spacing w:before="156" w:after="156"/>
        <w:ind w:firstLine="422"/>
        <w:rPr>
          <w:rFonts w:ascii="宋体" w:hAnsi="宋体" w:cs="宋体"/>
          <w:snapToGrid w:val="0"/>
          <w:color w:val="auto"/>
          <w:sz w:val="21"/>
          <w:szCs w:val="21"/>
          <w:highlight w:val="none"/>
        </w:rPr>
      </w:pPr>
      <w:r>
        <w:rPr>
          <w:rFonts w:hint="eastAsia" w:ascii="宋体" w:hAnsi="宋体" w:cs="宋体"/>
          <w:snapToGrid w:val="0"/>
          <w:color w:val="auto"/>
          <w:sz w:val="21"/>
          <w:szCs w:val="21"/>
          <w:highlight w:val="none"/>
        </w:rPr>
        <w:t>（三）维护服务内容包括</w:t>
      </w:r>
    </w:p>
    <w:p w14:paraId="6505E258">
      <w:pPr>
        <w:rPr>
          <w:rFonts w:ascii="宋体" w:hAnsi="宋体" w:cs="宋体"/>
          <w:snapToGrid w:val="0"/>
          <w:color w:val="auto"/>
          <w:highlight w:val="none"/>
        </w:rPr>
      </w:pPr>
      <w:r>
        <w:rPr>
          <w:rFonts w:hint="eastAsia" w:ascii="宋体" w:hAnsi="宋体" w:cs="宋体"/>
          <w:snapToGrid w:val="0"/>
          <w:color w:val="auto"/>
          <w:highlight w:val="none"/>
        </w:rPr>
        <w:t>维护工作涉及多个系统和相关终端设备的管理事件，</w:t>
      </w:r>
      <w:r>
        <w:rPr>
          <w:rFonts w:hint="eastAsia" w:ascii="宋体" w:hAnsi="宋体" w:cs="宋体"/>
          <w:snapToGrid w:val="0"/>
          <w:color w:val="auto"/>
          <w:highlight w:val="none"/>
          <w:lang w:eastAsia="zh-CN"/>
        </w:rPr>
        <w:t>主要</w:t>
      </w:r>
      <w:r>
        <w:rPr>
          <w:rFonts w:hint="eastAsia" w:ascii="宋体" w:hAnsi="宋体" w:cs="宋体"/>
          <w:snapToGrid w:val="0"/>
          <w:color w:val="auto"/>
          <w:highlight w:val="none"/>
        </w:rPr>
        <w:t>内容包括</w:t>
      </w:r>
      <w:r>
        <w:rPr>
          <w:rFonts w:hint="eastAsia" w:ascii="宋体" w:hAnsi="宋体" w:cs="宋体"/>
          <w:snapToGrid w:val="0"/>
          <w:color w:val="auto"/>
          <w:highlight w:val="none"/>
          <w:lang w:eastAsia="zh-CN"/>
        </w:rPr>
        <w:t>：</w:t>
      </w:r>
      <w:r>
        <w:rPr>
          <w:rFonts w:hint="eastAsia" w:ascii="宋体" w:hAnsi="宋体" w:cs="宋体"/>
          <w:snapToGrid w:val="0"/>
          <w:color w:val="auto"/>
          <w:highlight w:val="none"/>
        </w:rPr>
        <w:t xml:space="preserve"> </w:t>
      </w:r>
    </w:p>
    <w:p w14:paraId="2DC94980">
      <w:pPr>
        <w:rPr>
          <w:rFonts w:ascii="宋体" w:hAnsi="宋体" w:cs="宋体"/>
          <w:snapToGrid w:val="0"/>
          <w:color w:val="auto"/>
          <w:highlight w:val="none"/>
        </w:rPr>
      </w:pPr>
      <w:r>
        <w:rPr>
          <w:rFonts w:hint="eastAsia" w:ascii="宋体" w:hAnsi="宋体" w:cs="宋体"/>
          <w:snapToGrid w:val="0"/>
          <w:color w:val="auto"/>
          <w:highlight w:val="none"/>
          <w:lang w:eastAsia="zh-CN"/>
        </w:rPr>
        <w:t>（1）</w:t>
      </w:r>
      <w:r>
        <w:rPr>
          <w:rFonts w:hint="eastAsia" w:ascii="宋体" w:hAnsi="宋体" w:cs="宋体"/>
          <w:snapToGrid w:val="0"/>
          <w:color w:val="auto"/>
          <w:highlight w:val="none"/>
        </w:rPr>
        <w:t xml:space="preserve"> 科室设备相关软硬件支持。如操作系统、应用软件及驱动的全生命周期管理（安装、配置、升级、卸载）；安全软件部署（病毒查杀、各类应用插件安装）、办公软件维护等，对设备健康情况进行日常巡检和全面检查；包括办公电脑、打复印机、扫描仪及各类输入输出设备。 </w:t>
      </w:r>
    </w:p>
    <w:p w14:paraId="1E156CD3">
      <w:pPr>
        <w:rPr>
          <w:rFonts w:ascii="宋体" w:hAnsi="宋体" w:cs="宋体"/>
          <w:snapToGrid w:val="0"/>
          <w:color w:val="auto"/>
          <w:highlight w:val="none"/>
        </w:rPr>
      </w:pPr>
      <w:r>
        <w:rPr>
          <w:rFonts w:hint="eastAsia" w:ascii="宋体" w:hAnsi="宋体" w:cs="宋体"/>
          <w:snapToGrid w:val="0"/>
          <w:color w:val="auto"/>
          <w:highlight w:val="none"/>
        </w:rPr>
        <w:t>（2）网线（终端设备与信息点面板连接段）、打印机线、更</w:t>
      </w:r>
      <w:bookmarkStart w:id="34" w:name="_GoBack"/>
      <w:bookmarkEnd w:id="34"/>
      <w:r>
        <w:rPr>
          <w:rFonts w:hint="eastAsia" w:ascii="宋体" w:hAnsi="宋体" w:cs="宋体"/>
          <w:snapToGrid w:val="0"/>
          <w:color w:val="auto"/>
          <w:highlight w:val="none"/>
        </w:rPr>
        <w:t>换墨盒硒鼓、鼠标、键盘等属于耗材类不能正常使用的（更换的耗材</w:t>
      </w:r>
      <w:r>
        <w:rPr>
          <w:rFonts w:hint="eastAsia"/>
          <w:snapToGrid w:val="0"/>
          <w:color w:val="auto"/>
          <w:sz w:val="21"/>
          <w:szCs w:val="21"/>
          <w:highlight w:val="none"/>
        </w:rPr>
        <w:t>另</w:t>
      </w:r>
      <w:r>
        <w:rPr>
          <w:rFonts w:hint="eastAsia"/>
          <w:snapToGrid w:val="0"/>
          <w:color w:val="auto"/>
          <w:sz w:val="21"/>
          <w:szCs w:val="21"/>
          <w:highlight w:val="none"/>
          <w:lang w:eastAsia="zh-CN"/>
        </w:rPr>
        <w:t>行</w:t>
      </w:r>
      <w:r>
        <w:rPr>
          <w:rFonts w:hint="eastAsia"/>
          <w:snapToGrid w:val="0"/>
          <w:color w:val="auto"/>
          <w:sz w:val="21"/>
          <w:szCs w:val="21"/>
          <w:highlight w:val="none"/>
        </w:rPr>
        <w:t>采购</w:t>
      </w:r>
      <w:r>
        <w:rPr>
          <w:rFonts w:hint="eastAsia" w:ascii="宋体" w:hAnsi="宋体" w:cs="宋体"/>
          <w:snapToGrid w:val="0"/>
          <w:color w:val="auto"/>
          <w:highlight w:val="none"/>
        </w:rPr>
        <w:t>）。</w:t>
      </w:r>
    </w:p>
    <w:p w14:paraId="36FC8C68">
      <w:pPr>
        <w:rPr>
          <w:rFonts w:ascii="宋体" w:hAnsi="宋体" w:cs="宋体"/>
          <w:snapToGrid w:val="0"/>
          <w:color w:val="auto"/>
          <w:highlight w:val="none"/>
        </w:rPr>
      </w:pPr>
      <w:r>
        <w:rPr>
          <w:rFonts w:hint="eastAsia" w:ascii="宋体" w:hAnsi="宋体" w:cs="宋体"/>
          <w:snapToGrid w:val="0"/>
          <w:color w:val="auto"/>
          <w:highlight w:val="none"/>
        </w:rPr>
        <w:t>（3）常规的计算机操作应用服务，如共享打印机，共享文档，常用办公软件的使用技巧等。专用软件（非操作系统或简单办公应用软件）的故障，由服务台转单，转给相关项目主管负责人或相应的服务方</w:t>
      </w:r>
      <w:r>
        <w:rPr>
          <w:rFonts w:hint="eastAsia" w:ascii="宋体" w:hAnsi="宋体" w:cs="宋体"/>
          <w:snapToGrid w:val="0"/>
          <w:color w:val="auto"/>
          <w:highlight w:val="none"/>
          <w:lang w:eastAsia="zh-CN"/>
        </w:rPr>
        <w:t>，</w:t>
      </w:r>
      <w:r>
        <w:rPr>
          <w:rFonts w:hint="eastAsia" w:ascii="宋体" w:hAnsi="宋体" w:cs="宋体"/>
          <w:snapToGrid w:val="0"/>
          <w:color w:val="auto"/>
          <w:highlight w:val="none"/>
        </w:rPr>
        <w:t xml:space="preserve"> 并在工单备注好故障现象或事件维护经过。</w:t>
      </w:r>
    </w:p>
    <w:p w14:paraId="11A33CA3">
      <w:pPr>
        <w:pStyle w:val="6"/>
        <w:spacing w:before="156" w:after="156"/>
        <w:rPr>
          <w:rFonts w:cs="宋体"/>
          <w:b w:val="0"/>
          <w:bCs/>
          <w:snapToGrid w:val="0"/>
          <w:color w:val="auto"/>
          <w:sz w:val="21"/>
          <w:highlight w:val="none"/>
        </w:rPr>
      </w:pPr>
      <w:r>
        <w:rPr>
          <w:rFonts w:hint="eastAsia" w:cs="宋体"/>
          <w:b w:val="0"/>
          <w:bCs/>
          <w:snapToGrid w:val="0"/>
          <w:color w:val="auto"/>
          <w:sz w:val="21"/>
          <w:highlight w:val="none"/>
        </w:rPr>
        <w:t>（</w:t>
      </w:r>
      <w:r>
        <w:rPr>
          <w:rFonts w:cs="宋体"/>
          <w:b w:val="0"/>
          <w:bCs/>
          <w:snapToGrid w:val="0"/>
          <w:color w:val="auto"/>
          <w:sz w:val="21"/>
          <w:highlight w:val="none"/>
        </w:rPr>
        <w:t>4）</w:t>
      </w:r>
      <w:r>
        <w:rPr>
          <w:rStyle w:val="18"/>
          <w:rFonts w:hint="eastAsia" w:cs="宋体"/>
          <w:b/>
          <w:bCs/>
          <w:color w:val="auto"/>
          <w:sz w:val="21"/>
          <w:highlight w:val="none"/>
        </w:rPr>
        <w:t>设备系统重建：</w:t>
      </w:r>
      <w:r>
        <w:rPr>
          <w:rFonts w:hint="eastAsia" w:cs="宋体"/>
          <w:b w:val="0"/>
          <w:bCs/>
          <w:snapToGrid w:val="0"/>
          <w:color w:val="auto"/>
          <w:sz w:val="21"/>
          <w:highlight w:val="none"/>
        </w:rPr>
        <w:t>电脑系统故障不能正常使用、不稳定，征得医院信息管理部门意见后，重新安装信息管理部门指定的操作系统、杀毒软件、办公软件、使用科室指定软件、准入管理软件，并且要求按规范维护（特殊机器，如检验科、实验室、</w:t>
      </w:r>
      <w:r>
        <w:rPr>
          <w:rFonts w:cs="宋体"/>
          <w:b w:val="0"/>
          <w:bCs/>
          <w:snapToGrid w:val="0"/>
          <w:color w:val="auto"/>
          <w:sz w:val="21"/>
          <w:highlight w:val="none"/>
        </w:rPr>
        <w:t>CT/MR室、手术室等连接仪器电脑</w:t>
      </w:r>
      <w:r>
        <w:rPr>
          <w:rFonts w:hint="eastAsia" w:cs="宋体"/>
          <w:b w:val="0"/>
          <w:bCs/>
          <w:color w:val="auto"/>
          <w:sz w:val="21"/>
          <w:highlight w:val="none"/>
        </w:rPr>
        <w:t>及其他医疗设备厂商配备的电脑，</w:t>
      </w:r>
      <w:r>
        <w:rPr>
          <w:rFonts w:hint="eastAsia" w:cs="宋体"/>
          <w:b w:val="0"/>
          <w:bCs/>
          <w:snapToGrid w:val="0"/>
          <w:color w:val="auto"/>
          <w:sz w:val="21"/>
          <w:highlight w:val="none"/>
        </w:rPr>
        <w:t>除外），具体要求如下：</w:t>
      </w:r>
    </w:p>
    <w:p w14:paraId="3E59FE4D">
      <w:pPr>
        <w:rPr>
          <w:rFonts w:ascii="宋体" w:hAnsi="宋体" w:cs="宋体"/>
          <w:snapToGrid w:val="0"/>
          <w:color w:val="auto"/>
          <w:highlight w:val="none"/>
        </w:rPr>
      </w:pPr>
      <w:r>
        <w:rPr>
          <w:rFonts w:hint="eastAsia" w:ascii="宋体" w:hAnsi="宋体" w:cs="宋体"/>
          <w:snapToGrid w:val="0"/>
          <w:color w:val="auto"/>
          <w:highlight w:val="none"/>
        </w:rPr>
        <w:t>①重新安装操作系统后，必须更改计算机名为按医院规划的计算机名并且记录IP地址、使用科室进行备案，</w:t>
      </w:r>
      <w:r>
        <w:rPr>
          <w:rFonts w:hint="eastAsia" w:ascii="宋体" w:hAnsi="宋体" w:cs="宋体"/>
          <w:snapToGrid w:val="0"/>
          <w:color w:val="auto"/>
          <w:highlight w:val="none"/>
          <w:lang w:eastAsia="zh-CN"/>
        </w:rPr>
        <w:t>做好</w:t>
      </w:r>
      <w:r>
        <w:rPr>
          <w:rFonts w:hint="eastAsia" w:ascii="宋体" w:hAnsi="宋体" w:cs="宋体"/>
          <w:snapToGrid w:val="0"/>
          <w:color w:val="auto"/>
          <w:highlight w:val="none"/>
        </w:rPr>
        <w:t>设备准入的管理工作。</w:t>
      </w:r>
    </w:p>
    <w:p w14:paraId="1D7D9595">
      <w:pPr>
        <w:rPr>
          <w:rFonts w:ascii="宋体" w:hAnsi="宋体" w:cs="宋体"/>
          <w:snapToGrid w:val="0"/>
          <w:color w:val="auto"/>
          <w:highlight w:val="none"/>
        </w:rPr>
      </w:pPr>
      <w:r>
        <w:rPr>
          <w:rFonts w:hint="eastAsia" w:ascii="宋体" w:hAnsi="宋体" w:cs="宋体"/>
          <w:snapToGrid w:val="0"/>
          <w:color w:val="auto"/>
          <w:highlight w:val="none"/>
        </w:rPr>
        <w:t>②各类硬件驱动程序安装。</w:t>
      </w:r>
    </w:p>
    <w:p w14:paraId="75E04526">
      <w:pPr>
        <w:rPr>
          <w:rFonts w:ascii="宋体" w:hAnsi="宋体" w:cs="宋体"/>
          <w:snapToGrid w:val="0"/>
          <w:color w:val="auto"/>
          <w:highlight w:val="none"/>
        </w:rPr>
      </w:pPr>
      <w:r>
        <w:rPr>
          <w:rFonts w:hint="eastAsia" w:ascii="宋体" w:hAnsi="宋体" w:cs="宋体"/>
          <w:snapToGrid w:val="0"/>
          <w:color w:val="auto"/>
          <w:highlight w:val="none"/>
        </w:rPr>
        <w:t>③重新装系统时，按照会丢失的文件备份出来。</w:t>
      </w:r>
    </w:p>
    <w:p w14:paraId="37C9C2B5">
      <w:pPr>
        <w:rPr>
          <w:rFonts w:ascii="宋体" w:hAnsi="宋体" w:cs="宋体"/>
          <w:color w:val="auto"/>
          <w:highlight w:val="none"/>
        </w:rPr>
      </w:pPr>
      <w:r>
        <w:rPr>
          <w:rFonts w:hint="eastAsia" w:ascii="宋体" w:hAnsi="宋体" w:cs="宋体"/>
          <w:snapToGrid w:val="0"/>
          <w:color w:val="auto"/>
          <w:highlight w:val="none"/>
        </w:rPr>
        <w:t>（5）</w:t>
      </w:r>
      <w:r>
        <w:rPr>
          <w:rFonts w:ascii="宋体" w:hAnsi="宋体" w:cs="宋体"/>
          <w:color w:val="auto"/>
          <w:highlight w:val="none"/>
          <w:lang w:bidi="ar"/>
        </w:rPr>
        <w:t>网络配置</w:t>
      </w:r>
      <w:r>
        <w:rPr>
          <w:rFonts w:hint="eastAsia" w:ascii="宋体" w:hAnsi="宋体" w:cs="宋体"/>
          <w:color w:val="auto"/>
          <w:highlight w:val="none"/>
          <w:lang w:bidi="ar"/>
        </w:rPr>
        <w:t>包括</w:t>
      </w:r>
      <w:r>
        <w:rPr>
          <w:rFonts w:hint="eastAsia" w:ascii="宋体" w:hAnsi="宋体" w:cs="宋体"/>
          <w:snapToGrid w:val="0"/>
          <w:color w:val="auto"/>
          <w:highlight w:val="none"/>
        </w:rPr>
        <w:t>更换布线的信息点与电脑连接，设置采购人指定的IP地址，记录主机MAC地址。记录客户端电脑的基本配置记录，如：计算机名、设备配置、IP 地址、所在科室、位置、使用人电话等信息给采购人汇总归档。</w:t>
      </w:r>
    </w:p>
    <w:p w14:paraId="523F75FD">
      <w:pPr>
        <w:rPr>
          <w:rFonts w:ascii="宋体" w:hAnsi="宋体" w:cs="宋体"/>
          <w:snapToGrid w:val="0"/>
          <w:color w:val="auto"/>
          <w:highlight w:val="none"/>
        </w:rPr>
      </w:pPr>
      <w:r>
        <w:rPr>
          <w:rFonts w:hint="eastAsia" w:ascii="宋体" w:hAnsi="宋体" w:cs="宋体"/>
          <w:snapToGrid w:val="0"/>
          <w:color w:val="auto"/>
          <w:highlight w:val="none"/>
        </w:rPr>
        <w:t>（6）保修协调服务：损坏的维保设备仍在厂家保修期及保修范围内，由乙方驻守工程师联络厂家维修（联络方法由用户信息部门提供），若购买该设备的时候，原厂家承诺上门维修的，由原厂家上门维修；如有纠纷，由用户信息部门协调。</w:t>
      </w:r>
    </w:p>
    <w:p w14:paraId="679E5BC0">
      <w:pPr>
        <w:rPr>
          <w:rFonts w:ascii="宋体" w:hAnsi="宋体" w:cs="宋体"/>
          <w:snapToGrid w:val="0"/>
          <w:color w:val="auto"/>
          <w:highlight w:val="none"/>
        </w:rPr>
      </w:pPr>
      <w:r>
        <w:rPr>
          <w:rFonts w:hint="eastAsia" w:ascii="宋体" w:hAnsi="宋体" w:cs="宋体"/>
          <w:snapToGrid w:val="0"/>
          <w:color w:val="auto"/>
          <w:highlight w:val="none"/>
        </w:rPr>
        <w:t>（7）办公设备优化等日常维护，即例行巡检服务：通过定期巡检检测、优化等，提高办公设备使用效率和使用寿命。</w:t>
      </w:r>
    </w:p>
    <w:p w14:paraId="4132C3B8">
      <w:pPr>
        <w:rPr>
          <w:rFonts w:ascii="宋体" w:hAnsi="宋体" w:cs="宋体"/>
          <w:snapToGrid w:val="0"/>
          <w:color w:val="auto"/>
          <w:highlight w:val="none"/>
        </w:rPr>
      </w:pPr>
      <w:r>
        <w:rPr>
          <w:rFonts w:hint="eastAsia" w:ascii="宋体" w:hAnsi="宋体" w:cs="宋体"/>
          <w:snapToGrid w:val="0"/>
          <w:color w:val="auto"/>
          <w:highlight w:val="none"/>
        </w:rPr>
        <w:t>（8）及时有效</w:t>
      </w:r>
      <w:r>
        <w:rPr>
          <w:rFonts w:hint="eastAsia" w:ascii="宋体" w:hAnsi="宋体" w:cs="宋体"/>
          <w:snapToGrid w:val="0"/>
          <w:color w:val="auto"/>
          <w:highlight w:val="none"/>
          <w:lang w:eastAsia="zh-CN"/>
        </w:rPr>
        <w:t>地</w:t>
      </w:r>
      <w:r>
        <w:rPr>
          <w:rFonts w:hint="eastAsia" w:ascii="宋体" w:hAnsi="宋体" w:cs="宋体"/>
          <w:snapToGrid w:val="0"/>
          <w:color w:val="auto"/>
          <w:highlight w:val="none"/>
        </w:rPr>
        <w:t>为使用科室提供IT行业相关咨询，根据使用科室的实际情况为使用科室提供有效的行业应用方案建议书。</w:t>
      </w:r>
    </w:p>
    <w:p w14:paraId="538B440E">
      <w:pPr>
        <w:rPr>
          <w:rFonts w:ascii="宋体" w:hAnsi="宋体" w:cs="宋体"/>
          <w:snapToGrid w:val="0"/>
          <w:color w:val="auto"/>
          <w:highlight w:val="none"/>
        </w:rPr>
      </w:pPr>
      <w:r>
        <w:rPr>
          <w:rFonts w:hint="eastAsia" w:ascii="宋体" w:hAnsi="宋体" w:cs="宋体"/>
          <w:snapToGrid w:val="0"/>
          <w:color w:val="auto"/>
          <w:highlight w:val="none"/>
        </w:rPr>
        <w:t>（9）除电脑和打印机外的其他设备如投影仪、PDA、平板及各类信息终端外设等协助维修。</w:t>
      </w:r>
    </w:p>
    <w:p w14:paraId="20BEC19A">
      <w:pPr>
        <w:rPr>
          <w:rFonts w:ascii="宋体" w:hAnsi="宋体" w:cs="宋体"/>
          <w:color w:val="auto"/>
          <w:highlight w:val="none"/>
        </w:rPr>
      </w:pPr>
      <w:r>
        <w:rPr>
          <w:rFonts w:hint="eastAsia" w:ascii="宋体" w:hAnsi="宋体" w:cs="宋体"/>
          <w:snapToGrid w:val="0"/>
          <w:color w:val="auto"/>
          <w:highlight w:val="none"/>
        </w:rPr>
        <w:t>（10）服务台工单闭环管理和协调职责，负责对医院报障服务</w:t>
      </w:r>
      <w:r>
        <w:rPr>
          <w:rFonts w:hint="eastAsia" w:ascii="宋体" w:hAnsi="宋体" w:cs="宋体"/>
          <w:color w:val="auto"/>
          <w:highlight w:val="none"/>
        </w:rPr>
        <w:t>日常请求</w:t>
      </w:r>
      <w:r>
        <w:rPr>
          <w:rFonts w:hint="eastAsia" w:ascii="宋体" w:hAnsi="宋体" w:cs="宋体"/>
          <w:snapToGrid w:val="0"/>
          <w:color w:val="auto"/>
          <w:highlight w:val="none"/>
        </w:rPr>
        <w:t>的</w:t>
      </w:r>
      <w:r>
        <w:rPr>
          <w:rFonts w:hint="eastAsia" w:ascii="宋体" w:hAnsi="宋体" w:cs="宋体"/>
          <w:color w:val="auto"/>
          <w:highlight w:val="none"/>
        </w:rPr>
        <w:t>电话接听、派单、处理跟踪、回访、服务处理、文档归类处理等；负责协助医院信息管理部门日常综合软件整体技术集成维护支持，即作为IT设备维保和专用软件维保的总协调和相关服务工作；</w:t>
      </w:r>
    </w:p>
    <w:p w14:paraId="5115F5BB">
      <w:pPr>
        <w:rPr>
          <w:rFonts w:ascii="宋体" w:hAnsi="宋体" w:cs="宋体"/>
          <w:color w:val="auto"/>
          <w:highlight w:val="none"/>
        </w:rPr>
      </w:pPr>
      <w:r>
        <w:rPr>
          <w:rFonts w:hint="eastAsia" w:ascii="宋体" w:hAnsi="宋体" w:cs="宋体"/>
          <w:color w:val="auto"/>
          <w:highlight w:val="none"/>
        </w:rPr>
        <w:t>（11）负责视频会议设备维护：视频会议、远程会诊、手术转播、晚会直播等各类型会议设备调试、运行及驻场</w:t>
      </w:r>
      <w:r>
        <w:rPr>
          <w:rFonts w:hint="eastAsia" w:ascii="宋体" w:hAnsi="宋体" w:cs="宋体"/>
          <w:color w:val="auto"/>
          <w:highlight w:val="none"/>
          <w:lang w:eastAsia="zh-CN"/>
        </w:rPr>
        <w:t>保障</w:t>
      </w:r>
      <w:r>
        <w:rPr>
          <w:rFonts w:hint="eastAsia" w:ascii="宋体" w:hAnsi="宋体" w:cs="宋体"/>
          <w:color w:val="auto"/>
          <w:highlight w:val="none"/>
        </w:rPr>
        <w:t>工作。</w:t>
      </w:r>
    </w:p>
    <w:p w14:paraId="5280D708">
      <w:pPr>
        <w:rPr>
          <w:rFonts w:ascii="宋体" w:hAnsi="宋体" w:cs="宋体"/>
          <w:snapToGrid w:val="0"/>
          <w:color w:val="auto"/>
          <w:highlight w:val="none"/>
        </w:rPr>
      </w:pPr>
      <w:r>
        <w:rPr>
          <w:rFonts w:hint="eastAsia" w:ascii="宋体" w:hAnsi="宋体" w:cs="宋体"/>
          <w:color w:val="auto"/>
          <w:highlight w:val="none"/>
        </w:rPr>
        <w:t>（12）网络与弱电间简单维护工作，负责对桌面终端电脑的网络切换和端口跳线（桌面电脑至面板间跳线）服务；协助负责对楼层弱电间的简单路由器与交换机故障检测及定位；运用</w:t>
      </w:r>
      <w:bookmarkStart w:id="29" w:name="OLE_LINK1"/>
      <w:r>
        <w:rPr>
          <w:rFonts w:hint="eastAsia" w:ascii="宋体" w:hAnsi="宋体" w:cs="宋体"/>
          <w:color w:val="auto"/>
          <w:kern w:val="2"/>
          <w:highlight w:val="none"/>
          <w:lang w:bidi="ar"/>
        </w:rPr>
        <w:t>网络故障预警定位系统平台</w:t>
      </w:r>
      <w:bookmarkEnd w:id="29"/>
      <w:r>
        <w:rPr>
          <w:rFonts w:hint="eastAsia" w:ascii="宋体" w:hAnsi="宋体" w:cs="宋体"/>
          <w:color w:val="auto"/>
          <w:kern w:val="2"/>
          <w:highlight w:val="none"/>
          <w:lang w:bidi="ar"/>
        </w:rPr>
        <w:t>对网络故障进行定位和快速处理。协助</w:t>
      </w:r>
      <w:r>
        <w:rPr>
          <w:rFonts w:hint="eastAsia" w:ascii="宋体" w:hAnsi="宋体" w:cs="宋体"/>
          <w:snapToGrid w:val="0"/>
          <w:color w:val="auto"/>
          <w:highlight w:val="none"/>
        </w:rPr>
        <w:t>整理各楼层弱电井/弱电间的布线，包含但不限于补充标签、线路整理，使用运维管理系统</w:t>
      </w:r>
      <w:r>
        <w:rPr>
          <w:rFonts w:ascii="宋体" w:hAnsi="宋体" w:cs="宋体"/>
          <w:color w:val="auto"/>
          <w:highlight w:val="none"/>
          <w:lang w:bidi="ar"/>
        </w:rPr>
        <w:t>生成线缆、端口链路图，支持链路分析，方便链路故障排查</w:t>
      </w:r>
      <w:r>
        <w:rPr>
          <w:rFonts w:hint="eastAsia" w:ascii="宋体" w:hAnsi="宋体" w:cs="宋体"/>
          <w:color w:val="auto"/>
          <w:highlight w:val="none"/>
          <w:lang w:bidi="ar"/>
        </w:rPr>
        <w:t>，</w:t>
      </w:r>
      <w:r>
        <w:rPr>
          <w:rFonts w:hint="eastAsia" w:ascii="宋体" w:hAnsi="宋体" w:cs="宋体"/>
          <w:snapToGrid w:val="0"/>
          <w:color w:val="auto"/>
          <w:highlight w:val="none"/>
        </w:rPr>
        <w:t>提交拓扑图。</w:t>
      </w:r>
    </w:p>
    <w:p w14:paraId="33C62E6A">
      <w:pPr>
        <w:ind w:firstLine="367" w:firstLineChars="175"/>
        <w:rPr>
          <w:rFonts w:ascii="宋体" w:hAnsi="宋体" w:cs="宋体"/>
          <w:color w:val="auto"/>
          <w:highlight w:val="none"/>
        </w:rPr>
      </w:pPr>
      <w:r>
        <w:rPr>
          <w:rFonts w:hint="eastAsia" w:ascii="宋体" w:hAnsi="宋体" w:cs="宋体"/>
          <w:color w:val="auto"/>
          <w:highlight w:val="none"/>
        </w:rPr>
        <w:t>（13）计算机数据管理服务：包含计算机、打印机等桌面终端设备用户进行信息数据的备份、迁移等；</w:t>
      </w:r>
    </w:p>
    <w:p w14:paraId="54EF708C">
      <w:pPr>
        <w:rPr>
          <w:rFonts w:ascii="宋体" w:hAnsi="宋体" w:cs="宋体"/>
          <w:color w:val="auto"/>
          <w:highlight w:val="none"/>
        </w:rPr>
      </w:pPr>
      <w:r>
        <w:rPr>
          <w:rFonts w:hint="eastAsia" w:ascii="宋体" w:hAnsi="宋体" w:cs="宋体"/>
          <w:color w:val="auto"/>
          <w:highlight w:val="none"/>
        </w:rPr>
        <w:t>（14）协助医院业务应用系统终端环境的安装、配置、调试及简单故障配合修复等服务；</w:t>
      </w:r>
    </w:p>
    <w:p w14:paraId="00BD951D">
      <w:pPr>
        <w:rPr>
          <w:rFonts w:ascii="宋体" w:hAnsi="宋体" w:cs="宋体"/>
          <w:color w:val="auto"/>
          <w:highlight w:val="none"/>
        </w:rPr>
      </w:pPr>
      <w:r>
        <w:rPr>
          <w:rFonts w:hint="eastAsia" w:ascii="宋体" w:hAnsi="宋体" w:cs="宋体"/>
          <w:color w:val="auto"/>
          <w:highlight w:val="none"/>
        </w:rPr>
        <w:t>（15）医院的业务系统、专用软件及医院内部开发、定制的软件不</w:t>
      </w:r>
      <w:r>
        <w:rPr>
          <w:rFonts w:hint="eastAsia" w:ascii="宋体" w:hAnsi="宋体" w:cs="宋体"/>
          <w:color w:val="auto"/>
          <w:highlight w:val="none"/>
          <w:lang w:eastAsia="zh-CN"/>
        </w:rPr>
        <w:t>属于</w:t>
      </w:r>
      <w:r>
        <w:rPr>
          <w:rFonts w:hint="eastAsia" w:ascii="宋体" w:hAnsi="宋体" w:cs="宋体"/>
          <w:color w:val="auto"/>
          <w:highlight w:val="none"/>
        </w:rPr>
        <w:t>保养范围，但乙方有义务在必要时协助医院安装不同的应用软件、业务系统软件，提供相应的操作系统软件环境，并提供一定的指导使用。发生故障时，乙方同步通知医院信息部门进行处理，协助做好相关责任供应商服务转移交接工作。</w:t>
      </w:r>
    </w:p>
    <w:p w14:paraId="040E1C61">
      <w:pPr>
        <w:rPr>
          <w:rFonts w:ascii="宋体" w:hAnsi="宋体" w:cs="宋体"/>
          <w:color w:val="auto"/>
          <w:highlight w:val="none"/>
        </w:rPr>
      </w:pPr>
      <w:r>
        <w:rPr>
          <w:rFonts w:hint="eastAsia" w:ascii="宋体" w:hAnsi="宋体" w:cs="宋体"/>
          <w:color w:val="auto"/>
          <w:highlight w:val="none"/>
        </w:rPr>
        <w:t>（16）对未过原厂保修期的设备，发生故障时由乙方先行了解并作出判断，需要送修时应协助医院通知相关保修厂商进行保修维护；对于达到报废年限的设备，乙方免费为医院提供技术评估，确定满足报废条件的，由医院执行报废流程，乙方应提供必要协助，统一处理。</w:t>
      </w:r>
    </w:p>
    <w:p w14:paraId="2C637A7A">
      <w:pPr>
        <w:rPr>
          <w:rFonts w:ascii="宋体" w:hAnsi="宋体" w:cs="宋体"/>
          <w:snapToGrid w:val="0"/>
          <w:color w:val="auto"/>
          <w:highlight w:val="none"/>
        </w:rPr>
      </w:pPr>
      <w:r>
        <w:rPr>
          <w:rFonts w:hint="eastAsia" w:ascii="宋体" w:hAnsi="宋体" w:cs="宋体"/>
          <w:snapToGrid w:val="0"/>
          <w:color w:val="auto"/>
          <w:highlight w:val="none"/>
        </w:rPr>
        <w:t>（17）其他IT设备相关支持服务及</w:t>
      </w:r>
      <w:r>
        <w:rPr>
          <w:rFonts w:hint="eastAsia" w:ascii="宋体" w:hAnsi="宋体" w:cs="宋体"/>
          <w:color w:val="auto"/>
          <w:highlight w:val="none"/>
        </w:rPr>
        <w:t>经采购人同意的其他维护操作</w:t>
      </w:r>
      <w:r>
        <w:rPr>
          <w:rFonts w:hint="eastAsia" w:ascii="宋体" w:hAnsi="宋体" w:cs="宋体"/>
          <w:snapToGrid w:val="0"/>
          <w:color w:val="auto"/>
          <w:highlight w:val="none"/>
        </w:rPr>
        <w:t>。</w:t>
      </w:r>
    </w:p>
    <w:p w14:paraId="7F5E52FF">
      <w:pPr>
        <w:rPr>
          <w:rFonts w:ascii="宋体" w:hAnsi="宋体" w:cs="宋体"/>
          <w:color w:val="auto"/>
          <w:highlight w:val="none"/>
        </w:rPr>
      </w:pPr>
      <w:r>
        <w:rPr>
          <w:rFonts w:hint="eastAsia" w:ascii="宋体" w:hAnsi="宋体" w:cs="宋体"/>
          <w:color w:val="auto"/>
          <w:highlight w:val="none"/>
        </w:rPr>
        <w:t>（18）乙方在服务期内</w:t>
      </w:r>
      <w:bookmarkStart w:id="30" w:name="OLE_LINK2"/>
      <w:r>
        <w:rPr>
          <w:rFonts w:hint="eastAsia" w:ascii="宋体" w:hAnsi="宋体" w:cs="宋体"/>
          <w:color w:val="auto"/>
          <w:highlight w:val="none"/>
        </w:rPr>
        <w:t>每季度、年度服务结束后应向医院提交年度维保总结报告，包括但不限于医院投保设备的运行情况、维修、保养、更换零配件情况等。</w:t>
      </w:r>
    </w:p>
    <w:bookmarkEnd w:id="30"/>
    <w:p w14:paraId="60A2F5C9">
      <w:pPr>
        <w:rPr>
          <w:rFonts w:ascii="宋体" w:hAnsi="宋体" w:cs="宋体"/>
          <w:color w:val="auto"/>
          <w:highlight w:val="none"/>
        </w:rPr>
      </w:pPr>
      <w:r>
        <w:rPr>
          <w:rFonts w:hint="eastAsia" w:ascii="宋体" w:hAnsi="宋体" w:cs="宋体"/>
          <w:color w:val="auto"/>
          <w:highlight w:val="none"/>
        </w:rPr>
        <w:t>（19）打印耗材的安装服务：为各类打印设备耗材更换提供安装服务（不包含提供设备耗材）。</w:t>
      </w:r>
    </w:p>
    <w:p w14:paraId="66BC0CE3">
      <w:pPr>
        <w:pStyle w:val="5"/>
        <w:spacing w:before="156" w:after="156"/>
        <w:ind w:firstLine="422"/>
        <w:rPr>
          <w:rFonts w:ascii="宋体" w:hAnsi="宋体" w:cs="宋体"/>
          <w:snapToGrid w:val="0"/>
          <w:color w:val="auto"/>
          <w:sz w:val="21"/>
          <w:szCs w:val="21"/>
          <w:highlight w:val="none"/>
        </w:rPr>
      </w:pPr>
      <w:r>
        <w:rPr>
          <w:rFonts w:hint="eastAsia" w:ascii="宋体" w:hAnsi="宋体" w:cs="宋体"/>
          <w:snapToGrid w:val="0"/>
          <w:color w:val="auto"/>
          <w:sz w:val="21"/>
          <w:szCs w:val="21"/>
          <w:highlight w:val="none"/>
        </w:rPr>
        <w:t>（四）维修更换配件要求</w:t>
      </w:r>
    </w:p>
    <w:p w14:paraId="57475DBE">
      <w:pPr>
        <w:rPr>
          <w:rFonts w:ascii="宋体" w:hAnsi="宋体" w:cs="宋体"/>
          <w:snapToGrid w:val="0"/>
          <w:color w:val="auto"/>
          <w:highlight w:val="none"/>
        </w:rPr>
      </w:pPr>
      <w:bookmarkStart w:id="31" w:name="OLE_LINK3"/>
      <w:r>
        <w:rPr>
          <w:rFonts w:hint="eastAsia" w:ascii="宋体" w:hAnsi="宋体" w:cs="宋体"/>
          <w:snapToGrid w:val="0"/>
          <w:color w:val="auto"/>
          <w:highlight w:val="none"/>
        </w:rPr>
        <w:t>乙方在对以下设备进行维修或更换零配件时（原厂承保维修范围内除外），不再另行收取任何费用：</w:t>
      </w:r>
    </w:p>
    <w:bookmarkEnd w:id="31"/>
    <w:tbl>
      <w:tblPr>
        <w:tblStyle w:val="15"/>
        <w:tblW w:w="896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19"/>
        <w:gridCol w:w="1336"/>
        <w:gridCol w:w="6506"/>
      </w:tblGrid>
      <w:tr w14:paraId="7E687F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6" w:hRule="atLeast"/>
          <w:jc w:val="center"/>
        </w:trPr>
        <w:tc>
          <w:tcPr>
            <w:tcW w:w="2455" w:type="dxa"/>
            <w:gridSpan w:val="2"/>
            <w:tcBorders>
              <w:top w:val="single" w:color="auto" w:sz="12" w:space="0"/>
              <w:left w:val="single" w:color="auto" w:sz="12" w:space="0"/>
              <w:bottom w:val="single" w:color="auto" w:sz="6" w:space="0"/>
              <w:right w:val="single" w:color="auto" w:sz="6" w:space="0"/>
            </w:tcBorders>
            <w:vAlign w:val="center"/>
          </w:tcPr>
          <w:p w14:paraId="67E436D6">
            <w:pPr>
              <w:ind w:firstLine="0" w:firstLineChars="0"/>
              <w:jc w:val="center"/>
              <w:rPr>
                <w:rFonts w:ascii="宋体" w:hAnsi="宋体" w:cs="宋体"/>
                <w:b/>
                <w:bCs/>
                <w:color w:val="auto"/>
                <w:highlight w:val="none"/>
              </w:rPr>
            </w:pPr>
            <w:r>
              <w:rPr>
                <w:rFonts w:hint="eastAsia" w:ascii="宋体" w:hAnsi="宋体" w:cs="宋体"/>
                <w:b/>
                <w:bCs/>
                <w:color w:val="auto"/>
                <w:highlight w:val="none"/>
              </w:rPr>
              <w:t>类   型</w:t>
            </w:r>
          </w:p>
        </w:tc>
        <w:tc>
          <w:tcPr>
            <w:tcW w:w="6506" w:type="dxa"/>
            <w:tcBorders>
              <w:top w:val="single" w:color="auto" w:sz="12" w:space="0"/>
              <w:left w:val="single" w:color="auto" w:sz="6" w:space="0"/>
              <w:bottom w:val="single" w:color="auto" w:sz="6" w:space="0"/>
              <w:right w:val="single" w:color="auto" w:sz="12" w:space="0"/>
            </w:tcBorders>
            <w:vAlign w:val="center"/>
          </w:tcPr>
          <w:p w14:paraId="39189067">
            <w:pPr>
              <w:ind w:firstLine="0" w:firstLineChars="0"/>
              <w:jc w:val="center"/>
              <w:rPr>
                <w:rFonts w:ascii="宋体" w:hAnsi="宋体" w:cs="宋体"/>
                <w:b/>
                <w:bCs/>
                <w:color w:val="auto"/>
                <w:highlight w:val="none"/>
              </w:rPr>
            </w:pPr>
            <w:r>
              <w:rPr>
                <w:rFonts w:hint="eastAsia" w:ascii="宋体" w:hAnsi="宋体" w:cs="宋体"/>
                <w:b/>
                <w:bCs/>
                <w:color w:val="auto"/>
                <w:highlight w:val="none"/>
              </w:rPr>
              <w:t>硬件免费保修内容</w:t>
            </w:r>
          </w:p>
        </w:tc>
      </w:tr>
      <w:tr w14:paraId="52BC88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19" w:hRule="atLeast"/>
          <w:jc w:val="center"/>
        </w:trPr>
        <w:tc>
          <w:tcPr>
            <w:tcW w:w="1119" w:type="dxa"/>
            <w:vMerge w:val="restart"/>
            <w:tcBorders>
              <w:top w:val="single" w:color="auto" w:sz="6" w:space="0"/>
              <w:left w:val="single" w:color="auto" w:sz="12" w:space="0"/>
              <w:right w:val="single" w:color="auto" w:sz="6" w:space="0"/>
            </w:tcBorders>
            <w:vAlign w:val="center"/>
          </w:tcPr>
          <w:p w14:paraId="09DE37EB">
            <w:pPr>
              <w:ind w:firstLine="0" w:firstLineChars="0"/>
              <w:rPr>
                <w:rFonts w:ascii="宋体" w:hAnsi="宋体" w:cs="宋体"/>
                <w:color w:val="auto"/>
                <w:highlight w:val="none"/>
              </w:rPr>
            </w:pPr>
            <w:r>
              <w:rPr>
                <w:rFonts w:hint="eastAsia" w:ascii="宋体" w:hAnsi="宋体" w:cs="宋体"/>
                <w:color w:val="auto"/>
                <w:highlight w:val="none"/>
              </w:rPr>
              <w:t>电脑</w:t>
            </w:r>
          </w:p>
        </w:tc>
        <w:tc>
          <w:tcPr>
            <w:tcW w:w="1336" w:type="dxa"/>
            <w:tcBorders>
              <w:top w:val="single" w:color="auto" w:sz="6" w:space="0"/>
              <w:left w:val="single" w:color="auto" w:sz="6" w:space="0"/>
              <w:bottom w:val="single" w:color="auto" w:sz="6" w:space="0"/>
              <w:right w:val="single" w:color="auto" w:sz="6" w:space="0"/>
            </w:tcBorders>
            <w:vAlign w:val="center"/>
          </w:tcPr>
          <w:p w14:paraId="2D13D5F7">
            <w:pPr>
              <w:ind w:firstLine="0" w:firstLineChars="0"/>
              <w:rPr>
                <w:rFonts w:ascii="宋体" w:hAnsi="宋体" w:cs="宋体"/>
                <w:color w:val="auto"/>
                <w:highlight w:val="none"/>
              </w:rPr>
            </w:pPr>
            <w:r>
              <w:rPr>
                <w:rFonts w:hint="eastAsia" w:ascii="宋体" w:hAnsi="宋体" w:cs="宋体"/>
                <w:color w:val="auto"/>
                <w:highlight w:val="none"/>
              </w:rPr>
              <w:t>台式主机（含普通、微机、图形工作站）</w:t>
            </w:r>
          </w:p>
        </w:tc>
        <w:tc>
          <w:tcPr>
            <w:tcW w:w="6506" w:type="dxa"/>
            <w:tcBorders>
              <w:top w:val="single" w:color="auto" w:sz="6" w:space="0"/>
              <w:left w:val="single" w:color="auto" w:sz="6" w:space="0"/>
              <w:bottom w:val="single" w:color="auto" w:sz="6" w:space="0"/>
              <w:right w:val="single" w:color="auto" w:sz="12" w:space="0"/>
            </w:tcBorders>
            <w:vAlign w:val="center"/>
          </w:tcPr>
          <w:p w14:paraId="6D0422EB">
            <w:pPr>
              <w:ind w:firstLine="0" w:firstLineChars="0"/>
              <w:rPr>
                <w:rFonts w:ascii="宋体" w:hAnsi="宋体" w:cs="宋体"/>
                <w:color w:val="auto"/>
                <w:highlight w:val="none"/>
              </w:rPr>
            </w:pPr>
            <w:r>
              <w:rPr>
                <w:rFonts w:hint="eastAsia" w:ascii="宋体" w:hAnsi="宋体" w:cs="宋体"/>
                <w:color w:val="auto"/>
                <w:highlight w:val="none"/>
              </w:rPr>
              <w:t>主板、CPU、内存、光驱、软驱、显卡、声卡、网卡、</w:t>
            </w:r>
            <w:r>
              <w:rPr>
                <w:rFonts w:hint="eastAsia" w:ascii="宋体" w:hAnsi="宋体" w:cs="宋体"/>
                <w:color w:val="auto"/>
                <w:highlight w:val="none"/>
                <w:lang w:val="en-US" w:eastAsia="zh-CN"/>
              </w:rPr>
              <w:t>硬盘、</w:t>
            </w:r>
            <w:r>
              <w:rPr>
                <w:rFonts w:hint="eastAsia" w:ascii="宋体" w:hAnsi="宋体" w:cs="宋体"/>
                <w:color w:val="auto"/>
                <w:highlight w:val="none"/>
              </w:rPr>
              <w:t>电源等。</w:t>
            </w:r>
          </w:p>
        </w:tc>
      </w:tr>
      <w:tr w14:paraId="295EF9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9" w:hRule="atLeast"/>
          <w:jc w:val="center"/>
        </w:trPr>
        <w:tc>
          <w:tcPr>
            <w:tcW w:w="1119" w:type="dxa"/>
            <w:vMerge w:val="continue"/>
            <w:tcBorders>
              <w:left w:val="single" w:color="auto" w:sz="12" w:space="0"/>
              <w:right w:val="single" w:color="auto" w:sz="6" w:space="0"/>
            </w:tcBorders>
            <w:vAlign w:val="center"/>
          </w:tcPr>
          <w:p w14:paraId="25CAD5EE">
            <w:pPr>
              <w:rPr>
                <w:rFonts w:ascii="宋体" w:hAnsi="宋体" w:cs="宋体"/>
                <w:color w:val="auto"/>
                <w:highlight w:val="none"/>
              </w:rPr>
            </w:pPr>
          </w:p>
        </w:tc>
        <w:tc>
          <w:tcPr>
            <w:tcW w:w="1336" w:type="dxa"/>
            <w:tcBorders>
              <w:top w:val="single" w:color="auto" w:sz="6" w:space="0"/>
              <w:left w:val="single" w:color="auto" w:sz="6" w:space="0"/>
              <w:bottom w:val="single" w:color="auto" w:sz="6" w:space="0"/>
              <w:right w:val="single" w:color="auto" w:sz="6" w:space="0"/>
            </w:tcBorders>
            <w:vAlign w:val="center"/>
          </w:tcPr>
          <w:p w14:paraId="717DC980">
            <w:pPr>
              <w:ind w:firstLine="0" w:firstLineChars="0"/>
              <w:rPr>
                <w:rFonts w:ascii="宋体" w:hAnsi="宋体" w:cs="宋体"/>
                <w:color w:val="auto"/>
                <w:highlight w:val="none"/>
              </w:rPr>
            </w:pPr>
            <w:r>
              <w:rPr>
                <w:rFonts w:hint="eastAsia" w:ascii="宋体" w:hAnsi="宋体" w:cs="宋体"/>
                <w:color w:val="auto"/>
                <w:highlight w:val="none"/>
              </w:rPr>
              <w:t>显示器</w:t>
            </w:r>
          </w:p>
        </w:tc>
        <w:tc>
          <w:tcPr>
            <w:tcW w:w="6506" w:type="dxa"/>
            <w:tcBorders>
              <w:top w:val="single" w:color="auto" w:sz="6" w:space="0"/>
              <w:left w:val="single" w:color="auto" w:sz="6" w:space="0"/>
              <w:bottom w:val="single" w:color="auto" w:sz="6" w:space="0"/>
              <w:right w:val="single" w:color="auto" w:sz="12" w:space="0"/>
            </w:tcBorders>
            <w:vAlign w:val="center"/>
          </w:tcPr>
          <w:p w14:paraId="01A81CA1">
            <w:pPr>
              <w:ind w:firstLine="0" w:firstLineChars="0"/>
              <w:rPr>
                <w:rFonts w:ascii="宋体" w:hAnsi="宋体" w:cs="宋体"/>
                <w:color w:val="auto"/>
                <w:highlight w:val="none"/>
              </w:rPr>
            </w:pPr>
            <w:r>
              <w:rPr>
                <w:rFonts w:hint="eastAsia" w:ascii="宋体" w:hAnsi="宋体" w:cs="宋体"/>
                <w:color w:val="auto"/>
                <w:highlight w:val="none"/>
              </w:rPr>
              <w:t>高压包、行输出管、三基色放大管、IC、整流二极管、电源开关管、电源振荡IC、二次电源调整管、保险管、电容电阻、电感线圈、偏转线圈、液晶主板、液晶高压板、液晶灯管、液晶适配器、液晶屏等。（不</w:t>
            </w:r>
            <w:r>
              <w:rPr>
                <w:rFonts w:hint="eastAsia" w:ascii="宋体" w:hAnsi="宋体" w:cs="宋体"/>
                <w:color w:val="auto"/>
                <w:highlight w:val="none"/>
                <w:lang w:eastAsia="zh-CN"/>
              </w:rPr>
              <w:t>包括</w:t>
            </w:r>
            <w:r>
              <w:rPr>
                <w:rFonts w:hint="eastAsia" w:ascii="宋体" w:hAnsi="宋体" w:cs="宋体"/>
                <w:color w:val="auto"/>
                <w:highlight w:val="none"/>
              </w:rPr>
              <w:t>液晶</w:t>
            </w:r>
            <w:r>
              <w:rPr>
                <w:rFonts w:hint="eastAsia" w:ascii="宋体" w:hAnsi="宋体" w:cs="宋体"/>
                <w:color w:val="auto"/>
                <w:highlight w:val="none"/>
                <w:lang w:val="en-US" w:eastAsia="zh-CN"/>
              </w:rPr>
              <w:t>外</w:t>
            </w:r>
            <w:r>
              <w:rPr>
                <w:rFonts w:hint="eastAsia" w:ascii="宋体" w:hAnsi="宋体" w:cs="宋体"/>
                <w:color w:val="auto"/>
                <w:highlight w:val="none"/>
              </w:rPr>
              <w:t>屏）。</w:t>
            </w:r>
          </w:p>
        </w:tc>
      </w:tr>
      <w:tr w14:paraId="4F3648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6" w:hRule="atLeast"/>
          <w:jc w:val="center"/>
        </w:trPr>
        <w:tc>
          <w:tcPr>
            <w:tcW w:w="1119" w:type="dxa"/>
            <w:vMerge w:val="continue"/>
            <w:tcBorders>
              <w:left w:val="single" w:color="auto" w:sz="12" w:space="0"/>
              <w:right w:val="single" w:color="auto" w:sz="6" w:space="0"/>
            </w:tcBorders>
            <w:vAlign w:val="center"/>
          </w:tcPr>
          <w:p w14:paraId="3BA882C0">
            <w:pPr>
              <w:rPr>
                <w:rFonts w:ascii="宋体" w:hAnsi="宋体" w:cs="宋体"/>
                <w:color w:val="auto"/>
                <w:highlight w:val="none"/>
              </w:rPr>
            </w:pPr>
          </w:p>
        </w:tc>
        <w:tc>
          <w:tcPr>
            <w:tcW w:w="1336" w:type="dxa"/>
            <w:tcBorders>
              <w:top w:val="single" w:color="auto" w:sz="6" w:space="0"/>
              <w:left w:val="single" w:color="auto" w:sz="6" w:space="0"/>
              <w:bottom w:val="single" w:color="auto" w:sz="6" w:space="0"/>
              <w:right w:val="single" w:color="auto" w:sz="6" w:space="0"/>
            </w:tcBorders>
            <w:vAlign w:val="center"/>
          </w:tcPr>
          <w:p w14:paraId="4AACD50E">
            <w:pPr>
              <w:ind w:firstLine="0" w:firstLineChars="0"/>
              <w:rPr>
                <w:rFonts w:ascii="宋体" w:hAnsi="宋体" w:cs="宋体"/>
                <w:color w:val="auto"/>
                <w:highlight w:val="none"/>
              </w:rPr>
            </w:pPr>
            <w:r>
              <w:rPr>
                <w:rFonts w:hint="eastAsia" w:ascii="宋体" w:hAnsi="宋体" w:cs="宋体"/>
                <w:color w:val="auto"/>
                <w:highlight w:val="none"/>
              </w:rPr>
              <w:t>一体式电脑（含笔记本）</w:t>
            </w:r>
          </w:p>
        </w:tc>
        <w:tc>
          <w:tcPr>
            <w:tcW w:w="6506" w:type="dxa"/>
            <w:tcBorders>
              <w:top w:val="single" w:color="auto" w:sz="6" w:space="0"/>
              <w:left w:val="single" w:color="auto" w:sz="6" w:space="0"/>
              <w:bottom w:val="single" w:color="auto" w:sz="6" w:space="0"/>
              <w:right w:val="single" w:color="auto" w:sz="12" w:space="0"/>
            </w:tcBorders>
            <w:vAlign w:val="center"/>
          </w:tcPr>
          <w:p w14:paraId="63765F63">
            <w:pPr>
              <w:ind w:firstLine="0" w:firstLineChars="0"/>
              <w:rPr>
                <w:rFonts w:ascii="宋体" w:hAnsi="宋体" w:cs="宋体"/>
                <w:color w:val="auto"/>
                <w:highlight w:val="none"/>
              </w:rPr>
            </w:pPr>
            <w:r>
              <w:rPr>
                <w:rFonts w:hint="eastAsia" w:ascii="宋体" w:hAnsi="宋体" w:cs="宋体"/>
                <w:color w:val="auto"/>
                <w:highlight w:val="none"/>
              </w:rPr>
              <w:t>主板、CPU、内存、光驱、散热器、电源</w:t>
            </w:r>
            <w:r>
              <w:rPr>
                <w:rFonts w:hint="eastAsia" w:ascii="宋体" w:hAnsi="宋体" w:cs="宋体"/>
                <w:color w:val="auto"/>
                <w:highlight w:val="none"/>
                <w:lang w:eastAsia="zh-CN"/>
              </w:rPr>
              <w:t>、</w:t>
            </w:r>
            <w:r>
              <w:rPr>
                <w:rFonts w:hint="eastAsia" w:ascii="宋体" w:hAnsi="宋体" w:cs="宋体"/>
                <w:color w:val="auto"/>
                <w:highlight w:val="none"/>
                <w:lang w:val="en-US" w:eastAsia="zh-CN"/>
              </w:rPr>
              <w:t>电池、硬盘</w:t>
            </w:r>
            <w:r>
              <w:rPr>
                <w:rFonts w:hint="eastAsia" w:ascii="宋体" w:hAnsi="宋体" w:cs="宋体"/>
                <w:color w:val="auto"/>
                <w:highlight w:val="none"/>
              </w:rPr>
              <w:t>、液晶屏（非触摸式）等。</w:t>
            </w:r>
          </w:p>
        </w:tc>
      </w:tr>
      <w:tr w14:paraId="54C090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6" w:hRule="atLeast"/>
          <w:jc w:val="center"/>
        </w:trPr>
        <w:tc>
          <w:tcPr>
            <w:tcW w:w="1119" w:type="dxa"/>
            <w:vMerge w:val="continue"/>
            <w:tcBorders>
              <w:left w:val="single" w:color="auto" w:sz="12" w:space="0"/>
              <w:bottom w:val="single" w:color="auto" w:sz="6" w:space="0"/>
              <w:right w:val="single" w:color="auto" w:sz="6" w:space="0"/>
            </w:tcBorders>
            <w:vAlign w:val="center"/>
          </w:tcPr>
          <w:p w14:paraId="709AB43A">
            <w:pPr>
              <w:rPr>
                <w:rFonts w:ascii="宋体" w:hAnsi="宋体" w:cs="宋体"/>
                <w:color w:val="auto"/>
                <w:highlight w:val="none"/>
              </w:rPr>
            </w:pPr>
          </w:p>
        </w:tc>
        <w:tc>
          <w:tcPr>
            <w:tcW w:w="1336" w:type="dxa"/>
            <w:tcBorders>
              <w:top w:val="single" w:color="auto" w:sz="6" w:space="0"/>
              <w:left w:val="single" w:color="auto" w:sz="6" w:space="0"/>
              <w:bottom w:val="single" w:color="auto" w:sz="6" w:space="0"/>
              <w:right w:val="single" w:color="auto" w:sz="6" w:space="0"/>
            </w:tcBorders>
            <w:vAlign w:val="center"/>
          </w:tcPr>
          <w:p w14:paraId="7A00F640">
            <w:pPr>
              <w:ind w:firstLine="0" w:firstLineChars="0"/>
              <w:rPr>
                <w:rFonts w:ascii="宋体" w:hAnsi="宋体" w:cs="宋体"/>
                <w:color w:val="auto"/>
                <w:highlight w:val="none"/>
              </w:rPr>
            </w:pPr>
            <w:r>
              <w:rPr>
                <w:rFonts w:hint="eastAsia" w:ascii="宋体" w:hAnsi="宋体" w:cs="宋体"/>
                <w:color w:val="auto"/>
                <w:highlight w:val="none"/>
              </w:rPr>
              <w:t>其他类计算机</w:t>
            </w:r>
          </w:p>
        </w:tc>
        <w:tc>
          <w:tcPr>
            <w:tcW w:w="6506" w:type="dxa"/>
            <w:tcBorders>
              <w:top w:val="single" w:color="auto" w:sz="6" w:space="0"/>
              <w:left w:val="single" w:color="auto" w:sz="6" w:space="0"/>
              <w:bottom w:val="single" w:color="auto" w:sz="6" w:space="0"/>
              <w:right w:val="single" w:color="auto" w:sz="12" w:space="0"/>
            </w:tcBorders>
            <w:vAlign w:val="center"/>
          </w:tcPr>
          <w:p w14:paraId="11F3E5B8">
            <w:pPr>
              <w:ind w:firstLine="0" w:firstLineChars="0"/>
              <w:rPr>
                <w:rFonts w:ascii="宋体" w:hAnsi="宋体" w:cs="宋体"/>
                <w:color w:val="auto"/>
                <w:highlight w:val="none"/>
              </w:rPr>
            </w:pPr>
            <w:r>
              <w:rPr>
                <w:rFonts w:hint="eastAsia" w:ascii="宋体" w:hAnsi="宋体" w:cs="宋体"/>
                <w:bCs/>
                <w:color w:val="auto"/>
                <w:highlight w:val="none"/>
              </w:rPr>
              <w:t>不包括移动推车、自助机</w:t>
            </w:r>
            <w:r>
              <w:rPr>
                <w:rFonts w:hint="eastAsia" w:ascii="宋体" w:hAnsi="宋体" w:cs="宋体"/>
                <w:bCs/>
                <w:color w:val="auto"/>
                <w:highlight w:val="none"/>
                <w:lang w:eastAsia="zh-CN"/>
              </w:rPr>
              <w:t>、</w:t>
            </w:r>
            <w:r>
              <w:rPr>
                <w:rFonts w:hint="eastAsia" w:ascii="宋体" w:hAnsi="宋体" w:cs="宋体"/>
                <w:bCs/>
                <w:color w:val="auto"/>
                <w:highlight w:val="none"/>
              </w:rPr>
              <w:t>数据恢复等。</w:t>
            </w:r>
          </w:p>
        </w:tc>
      </w:tr>
      <w:tr w14:paraId="101036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1" w:hRule="atLeast"/>
          <w:jc w:val="center"/>
        </w:trPr>
        <w:tc>
          <w:tcPr>
            <w:tcW w:w="1119" w:type="dxa"/>
            <w:vMerge w:val="restart"/>
            <w:tcBorders>
              <w:top w:val="single" w:color="auto" w:sz="6" w:space="0"/>
              <w:left w:val="single" w:color="auto" w:sz="12" w:space="0"/>
              <w:right w:val="single" w:color="auto" w:sz="6" w:space="0"/>
            </w:tcBorders>
            <w:vAlign w:val="center"/>
          </w:tcPr>
          <w:p w14:paraId="7A62EBC8">
            <w:pPr>
              <w:ind w:firstLine="0" w:firstLineChars="0"/>
              <w:rPr>
                <w:rFonts w:ascii="宋体" w:hAnsi="宋体" w:cs="宋体"/>
                <w:color w:val="auto"/>
                <w:highlight w:val="none"/>
              </w:rPr>
            </w:pPr>
            <w:r>
              <w:rPr>
                <w:rFonts w:hint="eastAsia" w:ascii="宋体" w:hAnsi="宋体" w:cs="宋体"/>
                <w:color w:val="auto"/>
                <w:highlight w:val="none"/>
              </w:rPr>
              <w:t>打印机</w:t>
            </w:r>
          </w:p>
        </w:tc>
        <w:tc>
          <w:tcPr>
            <w:tcW w:w="1336" w:type="dxa"/>
            <w:tcBorders>
              <w:top w:val="single" w:color="auto" w:sz="6" w:space="0"/>
              <w:left w:val="single" w:color="auto" w:sz="6" w:space="0"/>
              <w:bottom w:val="single" w:color="auto" w:sz="6" w:space="0"/>
              <w:right w:val="single" w:color="auto" w:sz="6" w:space="0"/>
            </w:tcBorders>
            <w:vAlign w:val="center"/>
          </w:tcPr>
          <w:p w14:paraId="3FFC462D">
            <w:pPr>
              <w:ind w:firstLine="0" w:firstLineChars="0"/>
              <w:rPr>
                <w:rFonts w:ascii="宋体" w:hAnsi="宋体" w:cs="宋体"/>
                <w:color w:val="auto"/>
                <w:highlight w:val="none"/>
              </w:rPr>
            </w:pPr>
            <w:r>
              <w:rPr>
                <w:rFonts w:hint="eastAsia" w:ascii="宋体" w:hAnsi="宋体" w:cs="宋体"/>
                <w:color w:val="auto"/>
                <w:highlight w:val="none"/>
              </w:rPr>
              <w:t>激光打印机</w:t>
            </w:r>
          </w:p>
        </w:tc>
        <w:tc>
          <w:tcPr>
            <w:tcW w:w="6506" w:type="dxa"/>
            <w:tcBorders>
              <w:top w:val="single" w:color="auto" w:sz="6" w:space="0"/>
              <w:left w:val="single" w:color="auto" w:sz="6" w:space="0"/>
              <w:bottom w:val="single" w:color="auto" w:sz="6" w:space="0"/>
              <w:right w:val="single" w:color="auto" w:sz="12" w:space="0"/>
            </w:tcBorders>
            <w:vAlign w:val="center"/>
          </w:tcPr>
          <w:p w14:paraId="4C1D0330">
            <w:pPr>
              <w:ind w:firstLine="0" w:firstLineChars="0"/>
              <w:rPr>
                <w:rFonts w:ascii="宋体" w:hAnsi="宋体" w:cs="宋体"/>
                <w:color w:val="auto"/>
                <w:highlight w:val="none"/>
              </w:rPr>
            </w:pPr>
            <w:r>
              <w:rPr>
                <w:rFonts w:hint="eastAsia" w:ascii="宋体" w:hAnsi="宋体" w:cs="宋体"/>
                <w:color w:val="auto"/>
                <w:highlight w:val="none"/>
              </w:rPr>
              <w:t>机架、</w:t>
            </w:r>
            <w:r>
              <w:rPr>
                <w:rFonts w:hint="eastAsia" w:ascii="宋体" w:hAnsi="宋体" w:cs="宋体"/>
                <w:color w:val="auto"/>
                <w:highlight w:val="none"/>
                <w:lang w:val="en-US" w:eastAsia="zh-CN"/>
              </w:rPr>
              <w:t>主板、定影组件、</w:t>
            </w:r>
            <w:r>
              <w:rPr>
                <w:rFonts w:hint="eastAsia" w:ascii="宋体" w:hAnsi="宋体" w:cs="宋体"/>
                <w:color w:val="auto"/>
                <w:highlight w:val="none"/>
              </w:rPr>
              <w:t>电源板、齿轮、主电机、附电机、按键、进纸盒、激光发生器、加热芯、定影膜、定影灯、分离器、搓纸轮、进纸传感器、出纸传感器、进出纸主附轮等。（不</w:t>
            </w:r>
            <w:r>
              <w:rPr>
                <w:rFonts w:hint="eastAsia" w:ascii="宋体" w:hAnsi="宋体" w:cs="宋体"/>
                <w:color w:val="auto"/>
                <w:highlight w:val="none"/>
                <w:lang w:eastAsia="zh-CN"/>
              </w:rPr>
              <w:t>包括</w:t>
            </w:r>
            <w:r>
              <w:rPr>
                <w:rFonts w:hint="eastAsia" w:ascii="宋体" w:hAnsi="宋体" w:cs="宋体"/>
                <w:color w:val="auto"/>
                <w:highlight w:val="none"/>
              </w:rPr>
              <w:t>消耗品：硒鼓、碳粉等）。</w:t>
            </w:r>
          </w:p>
        </w:tc>
      </w:tr>
      <w:tr w14:paraId="396B7B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32" w:hRule="atLeast"/>
          <w:jc w:val="center"/>
        </w:trPr>
        <w:tc>
          <w:tcPr>
            <w:tcW w:w="1119" w:type="dxa"/>
            <w:vMerge w:val="continue"/>
            <w:tcBorders>
              <w:left w:val="single" w:color="auto" w:sz="12" w:space="0"/>
              <w:right w:val="single" w:color="auto" w:sz="6" w:space="0"/>
            </w:tcBorders>
            <w:vAlign w:val="center"/>
          </w:tcPr>
          <w:p w14:paraId="58FF4CEF">
            <w:pPr>
              <w:rPr>
                <w:rFonts w:ascii="宋体" w:hAnsi="宋体" w:cs="宋体"/>
                <w:color w:val="auto"/>
                <w:highlight w:val="none"/>
              </w:rPr>
            </w:pPr>
          </w:p>
        </w:tc>
        <w:tc>
          <w:tcPr>
            <w:tcW w:w="1336" w:type="dxa"/>
            <w:tcBorders>
              <w:top w:val="single" w:color="auto" w:sz="6" w:space="0"/>
              <w:left w:val="single" w:color="auto" w:sz="6" w:space="0"/>
              <w:bottom w:val="single" w:color="auto" w:sz="6" w:space="0"/>
              <w:right w:val="single" w:color="auto" w:sz="6" w:space="0"/>
            </w:tcBorders>
            <w:vAlign w:val="center"/>
          </w:tcPr>
          <w:p w14:paraId="5537526D">
            <w:pPr>
              <w:ind w:firstLine="0" w:firstLineChars="0"/>
              <w:rPr>
                <w:rFonts w:ascii="宋体" w:hAnsi="宋体" w:cs="宋体"/>
                <w:color w:val="auto"/>
                <w:highlight w:val="none"/>
              </w:rPr>
            </w:pPr>
            <w:r>
              <w:rPr>
                <w:rFonts w:hint="eastAsia" w:ascii="宋体" w:hAnsi="宋体" w:cs="宋体"/>
                <w:color w:val="auto"/>
                <w:highlight w:val="none"/>
              </w:rPr>
              <w:t>喷墨打印机</w:t>
            </w:r>
          </w:p>
        </w:tc>
        <w:tc>
          <w:tcPr>
            <w:tcW w:w="6506" w:type="dxa"/>
            <w:tcBorders>
              <w:top w:val="single" w:color="auto" w:sz="6" w:space="0"/>
              <w:left w:val="single" w:color="auto" w:sz="6" w:space="0"/>
              <w:bottom w:val="single" w:color="auto" w:sz="6" w:space="0"/>
              <w:right w:val="single" w:color="auto" w:sz="12" w:space="0"/>
            </w:tcBorders>
            <w:vAlign w:val="center"/>
          </w:tcPr>
          <w:p w14:paraId="46620520">
            <w:pPr>
              <w:ind w:firstLine="0" w:firstLineChars="0"/>
              <w:rPr>
                <w:rFonts w:ascii="宋体" w:hAnsi="宋体" w:cs="宋体"/>
                <w:color w:val="auto"/>
                <w:highlight w:val="none"/>
              </w:rPr>
            </w:pPr>
            <w:r>
              <w:rPr>
                <w:rFonts w:hint="eastAsia" w:ascii="宋体" w:hAnsi="宋体" w:cs="宋体"/>
                <w:color w:val="auto"/>
                <w:highlight w:val="none"/>
              </w:rPr>
              <w:t>主板、附板、电源板、头缆、机架、齿轮、主电机、附电机、导纸盒、轮盘传感器（附轮）、出进纸主轴附轴、皮带、导轴、部分传感器、棉垫、字车、计数器、搓纸轮、</w:t>
            </w:r>
            <w:r>
              <w:rPr>
                <w:rFonts w:hint="eastAsia" w:ascii="宋体" w:hAnsi="宋体" w:cs="宋体"/>
                <w:color w:val="auto"/>
                <w:highlight w:val="none"/>
                <w:lang w:val="en-US" w:eastAsia="zh-CN"/>
              </w:rPr>
              <w:t>喷墨头、</w:t>
            </w:r>
            <w:r>
              <w:rPr>
                <w:rFonts w:hint="eastAsia" w:ascii="宋体" w:hAnsi="宋体" w:cs="宋体"/>
                <w:color w:val="auto"/>
                <w:highlight w:val="none"/>
              </w:rPr>
              <w:t>废墨填充器、泵及附件等。（不</w:t>
            </w:r>
            <w:r>
              <w:rPr>
                <w:rFonts w:hint="eastAsia" w:ascii="宋体" w:hAnsi="宋体" w:cs="宋体"/>
                <w:color w:val="auto"/>
                <w:highlight w:val="none"/>
                <w:lang w:eastAsia="zh-CN"/>
              </w:rPr>
              <w:t>包括</w:t>
            </w:r>
            <w:r>
              <w:rPr>
                <w:rFonts w:hint="eastAsia" w:ascii="宋体" w:hAnsi="宋体" w:cs="宋体"/>
                <w:color w:val="auto"/>
                <w:highlight w:val="none"/>
              </w:rPr>
              <w:t>消耗品：如墨水、墨盒等）。</w:t>
            </w:r>
          </w:p>
        </w:tc>
      </w:tr>
      <w:tr w14:paraId="11AEE7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34" w:hRule="atLeast"/>
          <w:jc w:val="center"/>
        </w:trPr>
        <w:tc>
          <w:tcPr>
            <w:tcW w:w="1119" w:type="dxa"/>
            <w:vMerge w:val="continue"/>
            <w:tcBorders>
              <w:left w:val="single" w:color="auto" w:sz="12" w:space="0"/>
              <w:right w:val="single" w:color="auto" w:sz="6" w:space="0"/>
            </w:tcBorders>
            <w:vAlign w:val="center"/>
          </w:tcPr>
          <w:p w14:paraId="6B619CC1">
            <w:pPr>
              <w:rPr>
                <w:rFonts w:ascii="宋体" w:hAnsi="宋体" w:cs="宋体"/>
                <w:color w:val="auto"/>
                <w:highlight w:val="none"/>
              </w:rPr>
            </w:pPr>
          </w:p>
        </w:tc>
        <w:tc>
          <w:tcPr>
            <w:tcW w:w="1336" w:type="dxa"/>
            <w:tcBorders>
              <w:top w:val="single" w:color="auto" w:sz="6" w:space="0"/>
              <w:left w:val="single" w:color="auto" w:sz="6" w:space="0"/>
              <w:bottom w:val="single" w:color="auto" w:sz="6" w:space="0"/>
              <w:right w:val="single" w:color="auto" w:sz="6" w:space="0"/>
            </w:tcBorders>
            <w:vAlign w:val="center"/>
          </w:tcPr>
          <w:p w14:paraId="1AC77A6C">
            <w:pPr>
              <w:ind w:firstLine="0" w:firstLineChars="0"/>
              <w:rPr>
                <w:rFonts w:ascii="宋体" w:hAnsi="宋体" w:cs="宋体"/>
                <w:color w:val="auto"/>
                <w:highlight w:val="none"/>
              </w:rPr>
            </w:pPr>
            <w:r>
              <w:rPr>
                <w:rFonts w:hint="eastAsia" w:ascii="宋体" w:hAnsi="宋体" w:cs="宋体"/>
                <w:color w:val="auto"/>
                <w:highlight w:val="none"/>
              </w:rPr>
              <w:t>针式打印机</w:t>
            </w:r>
          </w:p>
        </w:tc>
        <w:tc>
          <w:tcPr>
            <w:tcW w:w="6506" w:type="dxa"/>
            <w:tcBorders>
              <w:top w:val="single" w:color="auto" w:sz="6" w:space="0"/>
              <w:left w:val="single" w:color="auto" w:sz="6" w:space="0"/>
              <w:bottom w:val="single" w:color="auto" w:sz="6" w:space="0"/>
              <w:right w:val="single" w:color="auto" w:sz="12" w:space="0"/>
            </w:tcBorders>
            <w:vAlign w:val="center"/>
          </w:tcPr>
          <w:p w14:paraId="71B040B2">
            <w:pPr>
              <w:ind w:firstLine="0" w:firstLineChars="0"/>
              <w:rPr>
                <w:rFonts w:ascii="宋体" w:hAnsi="宋体" w:cs="宋体"/>
                <w:color w:val="auto"/>
                <w:highlight w:val="none"/>
              </w:rPr>
            </w:pPr>
            <w:r>
              <w:rPr>
                <w:rFonts w:hint="eastAsia" w:ascii="宋体" w:hAnsi="宋体" w:cs="宋体"/>
                <w:color w:val="auto"/>
                <w:highlight w:val="none"/>
              </w:rPr>
              <w:t>主机板、字车导轨、打印头支架、齿轮、指示灯、电机、卷纸轴滚筒、控制面板、卷轴</w:t>
            </w:r>
            <w:r>
              <w:rPr>
                <w:rFonts w:hint="eastAsia" w:ascii="宋体" w:hAnsi="宋体" w:cs="宋体"/>
                <w:color w:val="auto"/>
                <w:highlight w:val="none"/>
                <w:lang w:eastAsia="zh-CN"/>
              </w:rPr>
              <w:t>旋钮</w:t>
            </w:r>
            <w:r>
              <w:rPr>
                <w:rFonts w:hint="eastAsia" w:ascii="宋体" w:hAnsi="宋体" w:cs="宋体"/>
                <w:color w:val="auto"/>
                <w:highlight w:val="none"/>
              </w:rPr>
              <w:t>、导纸器、拖纸器、过纸控制杆、打印头挡片、打印头断针、打印针等。（不</w:t>
            </w:r>
            <w:r>
              <w:rPr>
                <w:rFonts w:hint="eastAsia" w:ascii="宋体" w:hAnsi="宋体" w:cs="宋体"/>
                <w:color w:val="auto"/>
                <w:highlight w:val="none"/>
                <w:lang w:eastAsia="zh-CN"/>
              </w:rPr>
              <w:t>包括</w:t>
            </w:r>
            <w:r>
              <w:rPr>
                <w:rFonts w:hint="eastAsia" w:ascii="宋体" w:hAnsi="宋体" w:cs="宋体"/>
                <w:color w:val="auto"/>
                <w:highlight w:val="none"/>
              </w:rPr>
              <w:t>消耗品：如色带架、色带等）。</w:t>
            </w:r>
          </w:p>
        </w:tc>
      </w:tr>
      <w:tr w14:paraId="546E9A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66" w:hRule="atLeast"/>
          <w:jc w:val="center"/>
        </w:trPr>
        <w:tc>
          <w:tcPr>
            <w:tcW w:w="1119" w:type="dxa"/>
            <w:vMerge w:val="continue"/>
            <w:tcBorders>
              <w:left w:val="single" w:color="auto" w:sz="12" w:space="0"/>
              <w:right w:val="single" w:color="auto" w:sz="6" w:space="0"/>
            </w:tcBorders>
            <w:vAlign w:val="center"/>
          </w:tcPr>
          <w:p w14:paraId="7DE47C6D">
            <w:pPr>
              <w:rPr>
                <w:rFonts w:ascii="宋体" w:hAnsi="宋体" w:cs="宋体"/>
                <w:color w:val="auto"/>
                <w:highlight w:val="none"/>
              </w:rPr>
            </w:pPr>
          </w:p>
        </w:tc>
        <w:tc>
          <w:tcPr>
            <w:tcW w:w="1336" w:type="dxa"/>
            <w:tcBorders>
              <w:top w:val="single" w:color="auto" w:sz="6" w:space="0"/>
              <w:left w:val="single" w:color="auto" w:sz="6" w:space="0"/>
              <w:bottom w:val="single" w:color="auto" w:sz="6" w:space="0"/>
              <w:right w:val="single" w:color="auto" w:sz="6" w:space="0"/>
            </w:tcBorders>
            <w:vAlign w:val="center"/>
          </w:tcPr>
          <w:p w14:paraId="41865357">
            <w:pPr>
              <w:ind w:firstLine="0" w:firstLineChars="0"/>
              <w:rPr>
                <w:rFonts w:ascii="宋体" w:hAnsi="宋体" w:cs="宋体"/>
                <w:color w:val="auto"/>
                <w:highlight w:val="none"/>
              </w:rPr>
            </w:pPr>
            <w:r>
              <w:rPr>
                <w:rFonts w:hint="eastAsia" w:ascii="宋体" w:hAnsi="宋体" w:cs="宋体"/>
                <w:color w:val="auto"/>
                <w:highlight w:val="none"/>
              </w:rPr>
              <w:t>多功能一体机</w:t>
            </w:r>
          </w:p>
        </w:tc>
        <w:tc>
          <w:tcPr>
            <w:tcW w:w="6506" w:type="dxa"/>
            <w:tcBorders>
              <w:top w:val="single" w:color="auto" w:sz="6" w:space="0"/>
              <w:left w:val="single" w:color="auto" w:sz="6" w:space="0"/>
              <w:bottom w:val="single" w:color="auto" w:sz="6" w:space="0"/>
              <w:right w:val="single" w:color="auto" w:sz="12" w:space="0"/>
            </w:tcBorders>
            <w:vAlign w:val="center"/>
          </w:tcPr>
          <w:p w14:paraId="59380041">
            <w:pPr>
              <w:ind w:firstLine="0" w:firstLineChars="0"/>
              <w:rPr>
                <w:rFonts w:ascii="宋体" w:hAnsi="宋体" w:cs="宋体"/>
                <w:color w:val="auto"/>
                <w:highlight w:val="none"/>
              </w:rPr>
            </w:pPr>
            <w:r>
              <w:rPr>
                <w:rFonts w:hint="eastAsia" w:ascii="宋体" w:hAnsi="宋体" w:cs="宋体"/>
                <w:color w:val="auto"/>
                <w:highlight w:val="none"/>
              </w:rPr>
              <w:t>主板、</w:t>
            </w:r>
            <w:r>
              <w:rPr>
                <w:rFonts w:hint="eastAsia" w:ascii="宋体" w:hAnsi="宋体" w:cs="宋体"/>
                <w:color w:val="auto"/>
                <w:highlight w:val="none"/>
                <w:lang w:val="en-US" w:eastAsia="zh-CN"/>
              </w:rPr>
              <w:t>扫描头、喷墨头、</w:t>
            </w:r>
            <w:r>
              <w:rPr>
                <w:rFonts w:hint="eastAsia" w:ascii="宋体" w:hAnsi="宋体" w:cs="宋体"/>
                <w:color w:val="auto"/>
                <w:highlight w:val="none"/>
              </w:rPr>
              <w:t>机架、齿轮、主附电机、</w:t>
            </w:r>
            <w:r>
              <w:rPr>
                <w:rFonts w:hint="eastAsia" w:ascii="宋体" w:hAnsi="宋体" w:cs="宋体"/>
                <w:color w:val="auto"/>
                <w:highlight w:val="none"/>
                <w:lang w:eastAsia="zh-CN"/>
              </w:rPr>
              <w:t>原稿</w:t>
            </w:r>
            <w:r>
              <w:rPr>
                <w:rFonts w:hint="eastAsia" w:ascii="宋体" w:hAnsi="宋体" w:cs="宋体"/>
                <w:color w:val="auto"/>
                <w:highlight w:val="none"/>
              </w:rPr>
              <w:t>扫描器、送话器、键盘、纸盒、分离器、搓纸轮、进纸传感器、出纸传感器、进出纸主附轮、电源板等。（不</w:t>
            </w:r>
            <w:r>
              <w:rPr>
                <w:rFonts w:hint="eastAsia" w:ascii="宋体" w:hAnsi="宋体" w:cs="宋体"/>
                <w:color w:val="auto"/>
                <w:highlight w:val="none"/>
                <w:lang w:eastAsia="zh-CN"/>
              </w:rPr>
              <w:t>包括</w:t>
            </w:r>
            <w:r>
              <w:rPr>
                <w:rFonts w:hint="eastAsia" w:ascii="宋体" w:hAnsi="宋体" w:cs="宋体"/>
                <w:color w:val="auto"/>
                <w:highlight w:val="none"/>
              </w:rPr>
              <w:t>消耗品：如硒鼓、碳粉、墨水、</w:t>
            </w:r>
            <w:r>
              <w:rPr>
                <w:rFonts w:hint="eastAsia" w:ascii="宋体" w:hAnsi="宋体" w:cs="宋体"/>
                <w:color w:val="auto"/>
                <w:highlight w:val="none"/>
                <w:lang w:eastAsia="zh-CN"/>
              </w:rPr>
              <w:t>墨盒</w:t>
            </w:r>
            <w:r>
              <w:rPr>
                <w:rFonts w:hint="eastAsia" w:ascii="宋体" w:hAnsi="宋体" w:cs="宋体"/>
                <w:color w:val="auto"/>
                <w:highlight w:val="none"/>
              </w:rPr>
              <w:t>等）。</w:t>
            </w:r>
          </w:p>
        </w:tc>
      </w:tr>
      <w:tr w14:paraId="3311CD45">
        <w:tblPrEx>
          <w:tblCellMar>
            <w:top w:w="0" w:type="dxa"/>
            <w:left w:w="108" w:type="dxa"/>
            <w:bottom w:w="0" w:type="dxa"/>
            <w:right w:w="108" w:type="dxa"/>
          </w:tblCellMar>
        </w:tblPrEx>
        <w:trPr>
          <w:trHeight w:val="1066" w:hRule="atLeast"/>
          <w:jc w:val="center"/>
        </w:trPr>
        <w:tc>
          <w:tcPr>
            <w:tcW w:w="1119" w:type="dxa"/>
            <w:vMerge w:val="continue"/>
            <w:tcBorders>
              <w:left w:val="single" w:color="auto" w:sz="12" w:space="0"/>
              <w:bottom w:val="single" w:color="auto" w:sz="6" w:space="0"/>
              <w:right w:val="single" w:color="auto" w:sz="6" w:space="0"/>
            </w:tcBorders>
            <w:vAlign w:val="center"/>
          </w:tcPr>
          <w:p w14:paraId="3230A941">
            <w:pPr>
              <w:rPr>
                <w:rFonts w:ascii="宋体" w:hAnsi="宋体" w:cs="宋体"/>
                <w:color w:val="auto"/>
                <w:highlight w:val="none"/>
              </w:rPr>
            </w:pPr>
          </w:p>
        </w:tc>
        <w:tc>
          <w:tcPr>
            <w:tcW w:w="1336" w:type="dxa"/>
            <w:tcBorders>
              <w:top w:val="single" w:color="auto" w:sz="6" w:space="0"/>
              <w:left w:val="single" w:color="auto" w:sz="6" w:space="0"/>
              <w:bottom w:val="single" w:color="auto" w:sz="6" w:space="0"/>
              <w:right w:val="single" w:color="auto" w:sz="6" w:space="0"/>
            </w:tcBorders>
            <w:vAlign w:val="center"/>
          </w:tcPr>
          <w:p w14:paraId="0FD9E441">
            <w:pPr>
              <w:ind w:firstLine="0" w:firstLineChars="0"/>
              <w:rPr>
                <w:rFonts w:ascii="宋体" w:hAnsi="宋体" w:cs="宋体"/>
                <w:color w:val="auto"/>
                <w:highlight w:val="none"/>
              </w:rPr>
            </w:pPr>
            <w:r>
              <w:rPr>
                <w:rFonts w:hint="eastAsia" w:ascii="宋体" w:hAnsi="宋体" w:cs="宋体"/>
                <w:color w:val="auto"/>
                <w:highlight w:val="none"/>
              </w:rPr>
              <w:t>热敏打印机</w:t>
            </w:r>
          </w:p>
        </w:tc>
        <w:tc>
          <w:tcPr>
            <w:tcW w:w="6506" w:type="dxa"/>
            <w:tcBorders>
              <w:top w:val="single" w:color="auto" w:sz="6" w:space="0"/>
              <w:left w:val="single" w:color="auto" w:sz="6" w:space="0"/>
              <w:bottom w:val="single" w:color="auto" w:sz="6" w:space="0"/>
              <w:right w:val="single" w:color="auto" w:sz="12" w:space="0"/>
            </w:tcBorders>
            <w:vAlign w:val="center"/>
          </w:tcPr>
          <w:p w14:paraId="35164996">
            <w:pPr>
              <w:ind w:firstLine="0" w:firstLineChars="0"/>
              <w:rPr>
                <w:rFonts w:ascii="宋体" w:hAnsi="宋体" w:cs="宋体"/>
                <w:color w:val="auto"/>
                <w:highlight w:val="none"/>
              </w:rPr>
            </w:pPr>
            <w:r>
              <w:rPr>
                <w:rFonts w:hint="eastAsia" w:ascii="宋体" w:hAnsi="宋体" w:cs="宋体"/>
                <w:color w:val="auto"/>
                <w:highlight w:val="none"/>
              </w:rPr>
              <w:t>主板、切刀、</w:t>
            </w:r>
            <w:r>
              <w:rPr>
                <w:rFonts w:hint="eastAsia" w:ascii="宋体" w:hAnsi="宋体" w:cs="宋体"/>
                <w:color w:val="auto"/>
                <w:highlight w:val="none"/>
                <w:lang w:val="en-US" w:eastAsia="zh-CN"/>
              </w:rPr>
              <w:t>打印头、</w:t>
            </w:r>
            <w:r>
              <w:rPr>
                <w:rFonts w:hint="eastAsia" w:ascii="宋体" w:hAnsi="宋体" w:cs="宋体"/>
                <w:color w:val="auto"/>
                <w:highlight w:val="none"/>
              </w:rPr>
              <w:t>打印机盖板、控制面板、光学传感器、连接线等</w:t>
            </w:r>
          </w:p>
        </w:tc>
      </w:tr>
      <w:tr w14:paraId="22507D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66" w:hRule="atLeast"/>
          <w:jc w:val="center"/>
        </w:trPr>
        <w:tc>
          <w:tcPr>
            <w:tcW w:w="1119" w:type="dxa"/>
            <w:vMerge w:val="restart"/>
            <w:tcBorders>
              <w:top w:val="single" w:color="auto" w:sz="6" w:space="0"/>
              <w:left w:val="single" w:color="auto" w:sz="12" w:space="0"/>
              <w:right w:val="single" w:color="auto" w:sz="6" w:space="0"/>
            </w:tcBorders>
            <w:vAlign w:val="center"/>
          </w:tcPr>
          <w:p w14:paraId="4CFC985F">
            <w:pPr>
              <w:ind w:firstLine="0" w:firstLineChars="0"/>
              <w:rPr>
                <w:rFonts w:ascii="宋体" w:hAnsi="宋体" w:cs="宋体"/>
                <w:color w:val="auto"/>
                <w:highlight w:val="none"/>
              </w:rPr>
            </w:pPr>
            <w:r>
              <w:rPr>
                <w:rFonts w:hint="eastAsia" w:ascii="宋体" w:hAnsi="宋体" w:cs="宋体"/>
                <w:color w:val="auto"/>
                <w:highlight w:val="none"/>
              </w:rPr>
              <w:t>扫描枪</w:t>
            </w:r>
          </w:p>
        </w:tc>
        <w:tc>
          <w:tcPr>
            <w:tcW w:w="1336" w:type="dxa"/>
            <w:tcBorders>
              <w:top w:val="single" w:color="auto" w:sz="6" w:space="0"/>
              <w:left w:val="single" w:color="auto" w:sz="6" w:space="0"/>
              <w:bottom w:val="single" w:color="auto" w:sz="6" w:space="0"/>
              <w:right w:val="single" w:color="auto" w:sz="6" w:space="0"/>
            </w:tcBorders>
            <w:vAlign w:val="center"/>
          </w:tcPr>
          <w:p w14:paraId="116E5938">
            <w:pPr>
              <w:ind w:firstLine="0" w:firstLineChars="0"/>
              <w:rPr>
                <w:rFonts w:ascii="宋体" w:hAnsi="宋体" w:cs="宋体"/>
                <w:color w:val="auto"/>
                <w:highlight w:val="none"/>
              </w:rPr>
            </w:pPr>
            <w:r>
              <w:rPr>
                <w:rFonts w:hint="eastAsia" w:ascii="宋体" w:hAnsi="宋体" w:cs="宋体"/>
                <w:color w:val="auto"/>
                <w:highlight w:val="none"/>
              </w:rPr>
              <w:t>座式扫描器</w:t>
            </w:r>
          </w:p>
        </w:tc>
        <w:tc>
          <w:tcPr>
            <w:tcW w:w="6506" w:type="dxa"/>
            <w:tcBorders>
              <w:top w:val="single" w:color="auto" w:sz="6" w:space="0"/>
              <w:left w:val="single" w:color="auto" w:sz="6" w:space="0"/>
              <w:bottom w:val="single" w:color="auto" w:sz="6" w:space="0"/>
              <w:right w:val="single" w:color="auto" w:sz="12" w:space="0"/>
            </w:tcBorders>
            <w:vAlign w:val="center"/>
          </w:tcPr>
          <w:p w14:paraId="5161719D">
            <w:pPr>
              <w:ind w:firstLine="0" w:firstLineChars="0"/>
              <w:rPr>
                <w:rFonts w:ascii="宋体" w:hAnsi="宋体" w:cs="宋体"/>
                <w:color w:val="auto"/>
                <w:highlight w:val="none"/>
              </w:rPr>
            </w:pPr>
            <w:r>
              <w:rPr>
                <w:rFonts w:hint="eastAsia" w:ascii="宋体" w:hAnsi="宋体" w:cs="宋体"/>
                <w:color w:val="auto"/>
                <w:highlight w:val="none"/>
              </w:rPr>
              <w:t>扫描窗口玻璃组件、光源组件、橡胶垫、主板、传感器、机架等</w:t>
            </w:r>
          </w:p>
        </w:tc>
      </w:tr>
      <w:tr w14:paraId="22C4A5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66" w:hRule="atLeast"/>
          <w:jc w:val="center"/>
        </w:trPr>
        <w:tc>
          <w:tcPr>
            <w:tcW w:w="1119" w:type="dxa"/>
            <w:vMerge w:val="continue"/>
            <w:tcBorders>
              <w:left w:val="single" w:color="auto" w:sz="12" w:space="0"/>
              <w:right w:val="single" w:color="auto" w:sz="6" w:space="0"/>
            </w:tcBorders>
            <w:vAlign w:val="center"/>
          </w:tcPr>
          <w:p w14:paraId="04F280C3">
            <w:pPr>
              <w:ind w:firstLine="0" w:firstLineChars="0"/>
              <w:rPr>
                <w:rFonts w:ascii="宋体" w:hAnsi="宋体" w:cs="宋体"/>
                <w:color w:val="auto"/>
                <w:highlight w:val="none"/>
              </w:rPr>
            </w:pPr>
          </w:p>
        </w:tc>
        <w:tc>
          <w:tcPr>
            <w:tcW w:w="1336" w:type="dxa"/>
            <w:tcBorders>
              <w:top w:val="single" w:color="auto" w:sz="6" w:space="0"/>
              <w:left w:val="single" w:color="auto" w:sz="6" w:space="0"/>
              <w:bottom w:val="single" w:color="auto" w:sz="6" w:space="0"/>
              <w:right w:val="single" w:color="auto" w:sz="6" w:space="0"/>
            </w:tcBorders>
            <w:vAlign w:val="center"/>
          </w:tcPr>
          <w:p w14:paraId="664278AD">
            <w:pPr>
              <w:ind w:firstLine="0" w:firstLineChars="0"/>
              <w:rPr>
                <w:rFonts w:ascii="宋体" w:hAnsi="宋体" w:cs="宋体"/>
                <w:color w:val="auto"/>
                <w:highlight w:val="none"/>
              </w:rPr>
            </w:pPr>
            <w:r>
              <w:rPr>
                <w:rFonts w:hint="eastAsia" w:ascii="宋体" w:hAnsi="宋体" w:cs="宋体"/>
                <w:color w:val="auto"/>
                <w:highlight w:val="none"/>
              </w:rPr>
              <w:t>无线手持扫描枪</w:t>
            </w:r>
          </w:p>
        </w:tc>
        <w:tc>
          <w:tcPr>
            <w:tcW w:w="6506" w:type="dxa"/>
            <w:tcBorders>
              <w:top w:val="single" w:color="auto" w:sz="6" w:space="0"/>
              <w:left w:val="single" w:color="auto" w:sz="6" w:space="0"/>
              <w:bottom w:val="single" w:color="auto" w:sz="6" w:space="0"/>
              <w:right w:val="single" w:color="auto" w:sz="12" w:space="0"/>
            </w:tcBorders>
            <w:vAlign w:val="center"/>
          </w:tcPr>
          <w:p w14:paraId="1F1C7BC3">
            <w:pPr>
              <w:ind w:firstLine="0" w:firstLineChars="0"/>
              <w:rPr>
                <w:rFonts w:ascii="宋体" w:hAnsi="宋体" w:cs="宋体"/>
                <w:color w:val="auto"/>
                <w:highlight w:val="none"/>
              </w:rPr>
            </w:pPr>
            <w:r>
              <w:rPr>
                <w:rFonts w:hint="eastAsia" w:ascii="宋体" w:hAnsi="宋体" w:cs="宋体"/>
                <w:color w:val="auto"/>
                <w:highlight w:val="none"/>
              </w:rPr>
              <w:t>扫描头、触摸屏、物理按键、</w:t>
            </w:r>
            <w:r>
              <w:rPr>
                <w:rFonts w:hint="eastAsia" w:ascii="宋体" w:hAnsi="宋体" w:cs="宋体"/>
                <w:color w:val="auto"/>
                <w:highlight w:val="none"/>
                <w:lang w:val="en-US" w:eastAsia="zh-CN"/>
              </w:rPr>
              <w:t>电池、</w:t>
            </w:r>
            <w:r>
              <w:rPr>
                <w:rFonts w:hint="eastAsia" w:ascii="宋体" w:hAnsi="宋体" w:cs="宋体"/>
                <w:color w:val="auto"/>
                <w:highlight w:val="none"/>
              </w:rPr>
              <w:t>天线模块、橡胶防尘塞、主板、传感器、机架等</w:t>
            </w:r>
            <w:r>
              <w:rPr>
                <w:rFonts w:hint="eastAsia" w:ascii="宋体" w:hAnsi="宋体" w:cs="宋体"/>
                <w:color w:val="auto"/>
                <w:highlight w:val="none"/>
                <w:lang w:eastAsia="zh-CN"/>
              </w:rPr>
              <w:t>（</w:t>
            </w:r>
            <w:r>
              <w:rPr>
                <w:rFonts w:hint="eastAsia" w:ascii="宋体" w:hAnsi="宋体" w:cs="宋体"/>
                <w:color w:val="auto"/>
                <w:highlight w:val="none"/>
              </w:rPr>
              <w:t>不</w:t>
            </w:r>
            <w:r>
              <w:rPr>
                <w:rFonts w:hint="eastAsia" w:ascii="宋体" w:hAnsi="宋体" w:cs="宋体"/>
                <w:color w:val="auto"/>
                <w:highlight w:val="none"/>
                <w:lang w:eastAsia="zh-CN"/>
              </w:rPr>
              <w:t>包括</w:t>
            </w:r>
            <w:r>
              <w:rPr>
                <w:rFonts w:hint="eastAsia" w:ascii="宋体" w:hAnsi="宋体" w:cs="宋体"/>
                <w:color w:val="auto"/>
                <w:highlight w:val="none"/>
              </w:rPr>
              <w:t>消耗品：充电接口/数据线</w:t>
            </w:r>
            <w:r>
              <w:rPr>
                <w:rFonts w:hint="eastAsia" w:ascii="宋体" w:hAnsi="宋体" w:cs="宋体"/>
                <w:color w:val="auto"/>
                <w:highlight w:val="none"/>
                <w:lang w:eastAsia="zh-CN"/>
              </w:rPr>
              <w:t>）</w:t>
            </w:r>
          </w:p>
        </w:tc>
      </w:tr>
      <w:tr w14:paraId="32185E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66" w:hRule="atLeast"/>
          <w:jc w:val="center"/>
        </w:trPr>
        <w:tc>
          <w:tcPr>
            <w:tcW w:w="1119" w:type="dxa"/>
            <w:vMerge w:val="continue"/>
            <w:tcBorders>
              <w:left w:val="single" w:color="auto" w:sz="12" w:space="0"/>
              <w:bottom w:val="single" w:color="auto" w:sz="6" w:space="0"/>
              <w:right w:val="single" w:color="auto" w:sz="6" w:space="0"/>
            </w:tcBorders>
            <w:shd w:val="clear" w:color="auto" w:fill="FFFFFF" w:themeFill="background1"/>
            <w:vAlign w:val="center"/>
          </w:tcPr>
          <w:p w14:paraId="26B18CF6">
            <w:pPr>
              <w:ind w:firstLine="0" w:firstLineChars="0"/>
              <w:rPr>
                <w:rFonts w:ascii="Calibri" w:hAnsi="Calibri" w:cs="Times New Roman"/>
                <w:color w:val="auto"/>
                <w:highlight w:val="none"/>
              </w:rPr>
            </w:pPr>
          </w:p>
        </w:tc>
        <w:tc>
          <w:tcPr>
            <w:tcW w:w="1336"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14:paraId="04798007">
            <w:pPr>
              <w:ind w:firstLine="0" w:firstLineChars="0"/>
              <w:rPr>
                <w:color w:val="auto"/>
                <w:highlight w:val="none"/>
              </w:rPr>
            </w:pPr>
            <w:r>
              <w:rPr>
                <w:rFonts w:hint="eastAsia"/>
                <w:color w:val="auto"/>
                <w:highlight w:val="none"/>
              </w:rPr>
              <w:t>条码打印机</w:t>
            </w:r>
          </w:p>
        </w:tc>
        <w:tc>
          <w:tcPr>
            <w:tcW w:w="6506" w:type="dxa"/>
            <w:tcBorders>
              <w:top w:val="single" w:color="auto" w:sz="6" w:space="0"/>
              <w:left w:val="single" w:color="auto" w:sz="6" w:space="0"/>
              <w:bottom w:val="single" w:color="auto" w:sz="6" w:space="0"/>
              <w:right w:val="single" w:color="auto" w:sz="12" w:space="0"/>
            </w:tcBorders>
            <w:shd w:val="clear" w:color="auto" w:fill="FFFFFF" w:themeFill="background1"/>
            <w:vAlign w:val="center"/>
          </w:tcPr>
          <w:p w14:paraId="44314B09">
            <w:pPr>
              <w:ind w:firstLine="0" w:firstLineChars="0"/>
              <w:rPr>
                <w:color w:val="auto"/>
                <w:highlight w:val="none"/>
              </w:rPr>
            </w:pPr>
            <w:r>
              <w:rPr>
                <w:rFonts w:hint="eastAsia"/>
                <w:color w:val="auto"/>
                <w:highlight w:val="none"/>
              </w:rPr>
              <w:t>传感器组、电源板、排线、胶辊、</w:t>
            </w:r>
            <w:r>
              <w:rPr>
                <w:rFonts w:hint="eastAsia"/>
                <w:color w:val="auto"/>
                <w:highlight w:val="none"/>
                <w:lang w:val="en-US" w:eastAsia="zh-CN"/>
              </w:rPr>
              <w:t>打印头、</w:t>
            </w:r>
            <w:r>
              <w:rPr>
                <w:rFonts w:hint="eastAsia"/>
                <w:color w:val="auto"/>
                <w:highlight w:val="none"/>
              </w:rPr>
              <w:t>剥离器/切刀</w:t>
            </w:r>
            <w:r>
              <w:rPr>
                <w:rFonts w:hint="eastAsia"/>
                <w:color w:val="auto"/>
                <w:highlight w:val="none"/>
                <w:lang w:eastAsia="zh-CN"/>
              </w:rPr>
              <w:t>、</w:t>
            </w:r>
            <w:r>
              <w:rPr>
                <w:rFonts w:hint="eastAsia"/>
                <w:color w:val="auto"/>
                <w:highlight w:val="none"/>
                <w:lang w:val="en-US" w:eastAsia="zh-CN"/>
              </w:rPr>
              <w:t>打印头等。</w:t>
            </w:r>
          </w:p>
        </w:tc>
      </w:tr>
      <w:tr w14:paraId="139BDB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66" w:hRule="atLeast"/>
          <w:jc w:val="center"/>
        </w:trPr>
        <w:tc>
          <w:tcPr>
            <w:tcW w:w="1119" w:type="dxa"/>
            <w:tcBorders>
              <w:left w:val="single" w:color="auto" w:sz="12" w:space="0"/>
              <w:bottom w:val="single" w:color="auto" w:sz="6" w:space="0"/>
              <w:right w:val="single" w:color="auto" w:sz="6" w:space="0"/>
            </w:tcBorders>
            <w:vAlign w:val="center"/>
          </w:tcPr>
          <w:p w14:paraId="60412FFB">
            <w:pPr>
              <w:ind w:firstLine="0" w:firstLineChars="0"/>
              <w:rPr>
                <w:rFonts w:ascii="宋体" w:hAnsi="宋体" w:cs="宋体"/>
                <w:color w:val="auto"/>
                <w:highlight w:val="none"/>
              </w:rPr>
            </w:pPr>
            <w:r>
              <w:rPr>
                <w:rFonts w:hint="eastAsia"/>
                <w:color w:val="auto"/>
                <w:highlight w:val="none"/>
              </w:rPr>
              <w:t>座式扫描枪</w:t>
            </w:r>
          </w:p>
        </w:tc>
        <w:tc>
          <w:tcPr>
            <w:tcW w:w="1336" w:type="dxa"/>
            <w:tcBorders>
              <w:top w:val="single" w:color="auto" w:sz="6" w:space="0"/>
              <w:left w:val="single" w:color="auto" w:sz="6" w:space="0"/>
              <w:bottom w:val="single" w:color="auto" w:sz="6" w:space="0"/>
              <w:right w:val="single" w:color="auto" w:sz="6" w:space="0"/>
            </w:tcBorders>
            <w:vAlign w:val="center"/>
          </w:tcPr>
          <w:p w14:paraId="3FDA9E67">
            <w:pPr>
              <w:ind w:firstLine="0" w:firstLineChars="0"/>
              <w:rPr>
                <w:rFonts w:ascii="宋体" w:hAnsi="宋体" w:cs="宋体"/>
                <w:bCs/>
                <w:color w:val="auto"/>
                <w:highlight w:val="none"/>
              </w:rPr>
            </w:pPr>
            <w:r>
              <w:rPr>
                <w:rFonts w:hint="eastAsia"/>
                <w:color w:val="auto"/>
                <w:highlight w:val="none"/>
              </w:rPr>
              <w:t>座式扫描枪</w:t>
            </w:r>
          </w:p>
        </w:tc>
        <w:tc>
          <w:tcPr>
            <w:tcW w:w="6506" w:type="dxa"/>
            <w:tcBorders>
              <w:top w:val="single" w:color="auto" w:sz="6" w:space="0"/>
              <w:left w:val="single" w:color="auto" w:sz="6" w:space="0"/>
              <w:bottom w:val="single" w:color="auto" w:sz="6" w:space="0"/>
              <w:right w:val="single" w:color="auto" w:sz="12" w:space="0"/>
            </w:tcBorders>
            <w:vAlign w:val="center"/>
          </w:tcPr>
          <w:p w14:paraId="40FBB6AD">
            <w:pPr>
              <w:ind w:firstLine="0" w:firstLineChars="0"/>
              <w:rPr>
                <w:rFonts w:hint="eastAsia" w:ascii="宋体" w:hAnsi="宋体" w:eastAsia="宋体" w:cs="宋体"/>
                <w:bCs/>
                <w:color w:val="auto"/>
                <w:highlight w:val="none"/>
                <w:lang w:val="en-US" w:eastAsia="zh-CN"/>
              </w:rPr>
            </w:pPr>
            <w:r>
              <w:rPr>
                <w:rFonts w:hint="eastAsia"/>
                <w:color w:val="auto"/>
                <w:highlight w:val="none"/>
              </w:rPr>
              <w:t>Adaptus二维影像感光成像模组、</w:t>
            </w:r>
            <w:r>
              <w:rPr>
                <w:rFonts w:hint="eastAsia"/>
                <w:color w:val="auto"/>
                <w:highlight w:val="none"/>
                <w:lang w:val="en-US" w:eastAsia="zh-CN"/>
              </w:rPr>
              <w:t>主板、</w:t>
            </w:r>
            <w:r>
              <w:rPr>
                <w:rFonts w:hint="eastAsia"/>
                <w:color w:val="auto"/>
                <w:highlight w:val="none"/>
              </w:rPr>
              <w:t>红色 LED补光照明灯组、瞄准定位红光 LED 灯珠、图像光学透镜组、镜片防尘密封、整机解码主控电路板、板载存储芯片、USB 通讯接口模块、蜂鸣器、电源稳压电路、静电保护元件</w:t>
            </w:r>
            <w:r>
              <w:rPr>
                <w:rFonts w:hint="eastAsia"/>
                <w:color w:val="auto"/>
                <w:highlight w:val="none"/>
                <w:lang w:val="en-US" w:eastAsia="zh-CN"/>
              </w:rPr>
              <w:t>等。</w:t>
            </w:r>
          </w:p>
        </w:tc>
      </w:tr>
      <w:tr w14:paraId="502DFA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66" w:hRule="atLeast"/>
          <w:jc w:val="center"/>
        </w:trPr>
        <w:tc>
          <w:tcPr>
            <w:tcW w:w="1119" w:type="dxa"/>
            <w:tcBorders>
              <w:left w:val="single" w:color="auto" w:sz="12" w:space="0"/>
              <w:bottom w:val="single" w:color="auto" w:sz="6" w:space="0"/>
              <w:right w:val="single" w:color="auto" w:sz="6" w:space="0"/>
            </w:tcBorders>
            <w:vAlign w:val="center"/>
          </w:tcPr>
          <w:p w14:paraId="601DD142">
            <w:pPr>
              <w:ind w:firstLine="0" w:firstLineChars="0"/>
              <w:rPr>
                <w:rFonts w:hint="default" w:ascii="宋体" w:hAnsi="宋体" w:eastAsia="宋体" w:cs="宋体"/>
                <w:color w:val="auto"/>
                <w:highlight w:val="none"/>
                <w:lang w:val="en-US" w:eastAsia="zh-CN"/>
              </w:rPr>
            </w:pPr>
            <w:r>
              <w:rPr>
                <w:rFonts w:hint="eastAsia"/>
                <w:color w:val="auto"/>
                <w:highlight w:val="none"/>
              </w:rPr>
              <w:t>平板电脑</w:t>
            </w:r>
            <w:r>
              <w:rPr>
                <w:rFonts w:hint="eastAsia"/>
                <w:color w:val="auto"/>
                <w:highlight w:val="none"/>
                <w:lang w:val="en-US" w:eastAsia="zh-CN"/>
              </w:rPr>
              <w:t>及PDA设备</w:t>
            </w:r>
          </w:p>
        </w:tc>
        <w:tc>
          <w:tcPr>
            <w:tcW w:w="1336" w:type="dxa"/>
            <w:tcBorders>
              <w:top w:val="single" w:color="auto" w:sz="6" w:space="0"/>
              <w:left w:val="single" w:color="auto" w:sz="6" w:space="0"/>
              <w:bottom w:val="single" w:color="auto" w:sz="6" w:space="0"/>
              <w:right w:val="single" w:color="auto" w:sz="6" w:space="0"/>
            </w:tcBorders>
            <w:vAlign w:val="center"/>
          </w:tcPr>
          <w:p w14:paraId="72F1B6F4">
            <w:pPr>
              <w:ind w:firstLine="0" w:firstLineChars="0"/>
              <w:rPr>
                <w:rFonts w:hint="default" w:ascii="宋体" w:hAnsi="宋体" w:eastAsia="宋体" w:cs="宋体"/>
                <w:bCs/>
                <w:color w:val="auto"/>
                <w:highlight w:val="none"/>
                <w:lang w:val="en-US" w:eastAsia="zh-CN"/>
              </w:rPr>
            </w:pPr>
            <w:r>
              <w:rPr>
                <w:rFonts w:hint="eastAsia"/>
                <w:color w:val="auto"/>
                <w:highlight w:val="none"/>
              </w:rPr>
              <w:t>平板电脑</w:t>
            </w:r>
            <w:r>
              <w:rPr>
                <w:rFonts w:hint="eastAsia"/>
                <w:color w:val="auto"/>
                <w:highlight w:val="none"/>
                <w:lang w:val="en-US" w:eastAsia="zh-CN"/>
              </w:rPr>
              <w:t>及PDA设备</w:t>
            </w:r>
          </w:p>
        </w:tc>
        <w:tc>
          <w:tcPr>
            <w:tcW w:w="6506" w:type="dxa"/>
            <w:tcBorders>
              <w:top w:val="single" w:color="auto" w:sz="6" w:space="0"/>
              <w:left w:val="single" w:color="auto" w:sz="6" w:space="0"/>
              <w:bottom w:val="single" w:color="auto" w:sz="6" w:space="0"/>
              <w:right w:val="single" w:color="auto" w:sz="12" w:space="0"/>
            </w:tcBorders>
            <w:vAlign w:val="center"/>
          </w:tcPr>
          <w:p w14:paraId="3E0490A6">
            <w:pPr>
              <w:ind w:firstLine="0" w:firstLineChars="0"/>
              <w:rPr>
                <w:rFonts w:ascii="宋体" w:hAnsi="宋体" w:cs="宋体"/>
                <w:bCs/>
                <w:color w:val="auto"/>
                <w:highlight w:val="none"/>
              </w:rPr>
            </w:pPr>
            <w:r>
              <w:rPr>
                <w:rFonts w:hint="eastAsia"/>
                <w:color w:val="auto"/>
                <w:highlight w:val="none"/>
              </w:rPr>
              <w:t>电源适配器、屏幕总成、触控屏、屏幕触控组件</w:t>
            </w:r>
            <w:r>
              <w:rPr>
                <w:rFonts w:hint="eastAsia"/>
                <w:color w:val="auto"/>
                <w:highlight w:val="none"/>
                <w:lang w:eastAsia="zh-CN"/>
              </w:rPr>
              <w:t>、</w:t>
            </w:r>
            <w:r>
              <w:rPr>
                <w:rFonts w:hint="eastAsia"/>
                <w:color w:val="auto"/>
                <w:highlight w:val="none"/>
              </w:rPr>
              <w:t>液晶面板、触控排线、背光模组、屏幕驱动 IC、内置锂电池、扬声器、无线充电线圈、手写笔磁吸触点、主板电控组件</w:t>
            </w:r>
            <w:r>
              <w:rPr>
                <w:rFonts w:hint="eastAsia"/>
                <w:color w:val="auto"/>
                <w:highlight w:val="none"/>
                <w:lang w:eastAsia="zh-CN"/>
              </w:rPr>
              <w:t>、</w:t>
            </w:r>
            <w:r>
              <w:rPr>
                <w:rFonts w:hint="eastAsia"/>
                <w:color w:val="auto"/>
                <w:highlight w:val="none"/>
              </w:rPr>
              <w:t xml:space="preserve"> 主板、运行内存、存储芯片、光线距离重力传感器</w:t>
            </w:r>
            <w:r>
              <w:rPr>
                <w:rFonts w:hint="eastAsia"/>
                <w:color w:val="auto"/>
                <w:highlight w:val="none"/>
                <w:lang w:val="en-US" w:eastAsia="zh-CN"/>
              </w:rPr>
              <w:t>等。</w:t>
            </w:r>
            <w:r>
              <w:rPr>
                <w:rFonts w:hint="eastAsia"/>
                <w:color w:val="auto"/>
                <w:highlight w:val="none"/>
              </w:rPr>
              <w:t>（不</w:t>
            </w:r>
            <w:r>
              <w:rPr>
                <w:rFonts w:hint="eastAsia"/>
                <w:color w:val="auto"/>
                <w:highlight w:val="none"/>
                <w:lang w:eastAsia="zh-CN"/>
              </w:rPr>
              <w:t>包括</w:t>
            </w:r>
            <w:r>
              <w:rPr>
                <w:rFonts w:hint="eastAsia"/>
                <w:color w:val="auto"/>
                <w:highlight w:val="none"/>
              </w:rPr>
              <w:t>屏幕）</w:t>
            </w:r>
          </w:p>
        </w:tc>
      </w:tr>
      <w:tr w14:paraId="46C645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66" w:hRule="atLeast"/>
          <w:jc w:val="center"/>
        </w:trPr>
        <w:tc>
          <w:tcPr>
            <w:tcW w:w="1119" w:type="dxa"/>
            <w:tcBorders>
              <w:left w:val="single" w:color="auto" w:sz="12" w:space="0"/>
              <w:bottom w:val="single" w:color="auto" w:sz="6" w:space="0"/>
              <w:right w:val="single" w:color="auto" w:sz="6" w:space="0"/>
            </w:tcBorders>
            <w:vAlign w:val="center"/>
          </w:tcPr>
          <w:p w14:paraId="6D0B52A3">
            <w:pPr>
              <w:ind w:firstLine="0" w:firstLineChars="0"/>
              <w:rPr>
                <w:rFonts w:ascii="宋体" w:hAnsi="宋体" w:cs="宋体"/>
                <w:color w:val="auto"/>
                <w:highlight w:val="none"/>
              </w:rPr>
            </w:pPr>
            <w:r>
              <w:rPr>
                <w:rFonts w:hint="eastAsia" w:ascii="宋体" w:hAnsi="宋体" w:cs="宋体"/>
                <w:color w:val="auto"/>
                <w:highlight w:val="none"/>
              </w:rPr>
              <w:t>其他外设</w:t>
            </w:r>
          </w:p>
        </w:tc>
        <w:tc>
          <w:tcPr>
            <w:tcW w:w="1336" w:type="dxa"/>
            <w:tcBorders>
              <w:top w:val="single" w:color="auto" w:sz="6" w:space="0"/>
              <w:left w:val="single" w:color="auto" w:sz="6" w:space="0"/>
              <w:bottom w:val="single" w:color="auto" w:sz="6" w:space="0"/>
              <w:right w:val="single" w:color="auto" w:sz="6" w:space="0"/>
            </w:tcBorders>
            <w:vAlign w:val="center"/>
          </w:tcPr>
          <w:p w14:paraId="666E23B6">
            <w:pPr>
              <w:ind w:firstLine="0" w:firstLineChars="0"/>
              <w:rPr>
                <w:rFonts w:ascii="宋体" w:hAnsi="宋体" w:cs="宋体"/>
                <w:color w:val="auto"/>
                <w:highlight w:val="none"/>
              </w:rPr>
            </w:pPr>
            <w:r>
              <w:rPr>
                <w:rFonts w:hint="eastAsia" w:ascii="宋体" w:hAnsi="宋体" w:cs="宋体"/>
                <w:bCs/>
                <w:color w:val="auto"/>
                <w:highlight w:val="none"/>
              </w:rPr>
              <w:t>其他设备维修</w:t>
            </w:r>
          </w:p>
        </w:tc>
        <w:tc>
          <w:tcPr>
            <w:tcW w:w="6506" w:type="dxa"/>
            <w:tcBorders>
              <w:top w:val="single" w:color="auto" w:sz="6" w:space="0"/>
              <w:left w:val="single" w:color="auto" w:sz="6" w:space="0"/>
              <w:bottom w:val="single" w:color="auto" w:sz="6" w:space="0"/>
              <w:right w:val="single" w:color="auto" w:sz="12" w:space="0"/>
            </w:tcBorders>
            <w:vAlign w:val="center"/>
          </w:tcPr>
          <w:p w14:paraId="2A5CD78F">
            <w:pPr>
              <w:ind w:firstLine="0" w:firstLineChars="0"/>
              <w:rPr>
                <w:rFonts w:ascii="宋体" w:hAnsi="宋体" w:cs="宋体"/>
                <w:color w:val="auto"/>
                <w:highlight w:val="none"/>
              </w:rPr>
            </w:pPr>
            <w:r>
              <w:rPr>
                <w:rFonts w:hint="eastAsia" w:ascii="宋体" w:hAnsi="宋体" w:cs="宋体"/>
                <w:bCs/>
                <w:color w:val="auto"/>
                <w:highlight w:val="none"/>
              </w:rPr>
              <w:t>不包括传真机、扫描仪、投影仪、网络设备、会议设备、交换机</w:t>
            </w:r>
            <w:r>
              <w:rPr>
                <w:rFonts w:hint="eastAsia" w:ascii="宋体" w:hAnsi="宋体" w:cs="宋体"/>
                <w:bCs/>
                <w:color w:val="auto"/>
                <w:highlight w:val="none"/>
                <w:lang w:eastAsia="zh-CN"/>
              </w:rPr>
              <w:t>、</w:t>
            </w:r>
            <w:r>
              <w:rPr>
                <w:rFonts w:hint="eastAsia" w:ascii="宋体" w:hAnsi="宋体" w:cs="宋体"/>
                <w:bCs/>
                <w:color w:val="auto"/>
                <w:highlight w:val="none"/>
                <w:lang w:val="en-US" w:eastAsia="zh-CN"/>
              </w:rPr>
              <w:t>A3打印机、彩色激光打印机</w:t>
            </w:r>
            <w:r>
              <w:rPr>
                <w:rFonts w:hint="eastAsia" w:ascii="宋体" w:hAnsi="宋体" w:cs="宋体"/>
                <w:bCs/>
                <w:color w:val="auto"/>
                <w:highlight w:val="none"/>
              </w:rPr>
              <w:t>等。</w:t>
            </w:r>
          </w:p>
        </w:tc>
      </w:tr>
    </w:tbl>
    <w:p w14:paraId="098AA8DA">
      <w:pPr>
        <w:rPr>
          <w:rFonts w:ascii="宋体" w:hAnsi="宋体" w:cs="宋体"/>
          <w:color w:val="auto"/>
          <w:highlight w:val="none"/>
        </w:rPr>
      </w:pPr>
      <w:r>
        <w:rPr>
          <w:rFonts w:hint="eastAsia" w:ascii="宋体" w:hAnsi="宋体" w:cs="宋体"/>
          <w:color w:val="auto"/>
          <w:highlight w:val="none"/>
        </w:rPr>
        <w:t>设备硬件维修时间一般不能超过3个工作日。无法维修的硬件，</w:t>
      </w:r>
      <w:r>
        <w:rPr>
          <w:rFonts w:hint="eastAsia" w:ascii="宋体" w:hAnsi="宋体" w:cs="宋体"/>
          <w:snapToGrid w:val="0"/>
          <w:color w:val="auto"/>
          <w:highlight w:val="none"/>
        </w:rPr>
        <w:t>乙方</w:t>
      </w:r>
      <w:r>
        <w:rPr>
          <w:rFonts w:hint="eastAsia" w:ascii="宋体" w:hAnsi="宋体" w:cs="宋体"/>
          <w:color w:val="auto"/>
          <w:highlight w:val="none"/>
        </w:rPr>
        <w:t>应在5个工作日内为医院完成故障</w:t>
      </w:r>
      <w:r>
        <w:rPr>
          <w:rFonts w:ascii="宋体" w:hAnsi="宋体" w:cs="宋体"/>
          <w:color w:val="auto"/>
          <w:highlight w:val="none"/>
        </w:rPr>
        <w:t>技术鉴定</w:t>
      </w:r>
      <w:r>
        <w:rPr>
          <w:rFonts w:hint="eastAsia" w:ascii="宋体" w:hAnsi="宋体" w:cs="宋体"/>
          <w:color w:val="auto"/>
          <w:highlight w:val="none"/>
        </w:rPr>
        <w:t>，满足</w:t>
      </w:r>
      <w:r>
        <w:rPr>
          <w:rFonts w:ascii="宋体" w:hAnsi="宋体" w:cs="宋体"/>
          <w:color w:val="auto"/>
          <w:highlight w:val="none"/>
        </w:rPr>
        <w:t>提交报废申请流程</w:t>
      </w:r>
      <w:r>
        <w:rPr>
          <w:rFonts w:hint="eastAsia"/>
          <w:color w:val="auto"/>
          <w:highlight w:val="none"/>
        </w:rPr>
        <w:t>，例如硬</w:t>
      </w:r>
      <w:r>
        <w:rPr>
          <w:rFonts w:hint="eastAsia" w:ascii="宋体" w:hAnsi="宋体" w:cs="宋体"/>
          <w:color w:val="auto"/>
          <w:highlight w:val="none"/>
        </w:rPr>
        <w:t>盘、显示器、主板、电源、内存、显卡、打印机方面的主板、激光器、高压板、电源板、DC板、定影组件、搓纸轮等。</w:t>
      </w:r>
      <w:r>
        <w:rPr>
          <w:rFonts w:ascii="宋体" w:hAnsi="宋体" w:cs="宋体"/>
          <w:color w:val="auto"/>
          <w:highlight w:val="none"/>
        </w:rPr>
        <w:t>针对高频损坏的耗材（如搓纸轮、定影组件、电源、内存），必须在驻场点建</w:t>
      </w:r>
      <w:r>
        <w:rPr>
          <w:rFonts w:hint="eastAsia" w:ascii="宋体" w:hAnsi="宋体" w:cs="宋体"/>
          <w:color w:val="auto"/>
          <w:highlight w:val="none"/>
        </w:rPr>
        <w:t>立本地备件库，确</w:t>
      </w:r>
      <w:r>
        <w:rPr>
          <w:rFonts w:ascii="宋体" w:hAnsi="宋体" w:cs="宋体"/>
          <w:color w:val="auto"/>
          <w:highlight w:val="none"/>
        </w:rPr>
        <w:t>保3天内能直接替换修复。针对低频高值部件（如主板、激光器）</w:t>
      </w:r>
      <w:r>
        <w:rPr>
          <w:rFonts w:hint="eastAsia" w:ascii="宋体" w:hAnsi="宋体" w:cs="宋体"/>
          <w:color w:val="auto"/>
          <w:highlight w:val="none"/>
        </w:rPr>
        <w:t>直接采用送修</w:t>
      </w:r>
      <w:r>
        <w:rPr>
          <w:rFonts w:ascii="宋体" w:hAnsi="宋体" w:cs="宋体"/>
          <w:color w:val="auto"/>
          <w:highlight w:val="none"/>
        </w:rPr>
        <w:t>，不能依赖传统的“寄修”模式。</w:t>
      </w:r>
    </w:p>
    <w:p w14:paraId="6659ACA1">
      <w:pPr>
        <w:rPr>
          <w:color w:val="auto"/>
          <w:highlight w:val="none"/>
        </w:rPr>
      </w:pPr>
      <w:r>
        <w:rPr>
          <w:rFonts w:hint="eastAsia" w:ascii="宋体" w:hAnsi="宋体" w:cs="宋体"/>
          <w:color w:val="auto"/>
          <w:highlight w:val="none"/>
        </w:rPr>
        <w:t>高值部件</w:t>
      </w:r>
      <w:r>
        <w:rPr>
          <w:rFonts w:hint="eastAsia"/>
          <w:color w:val="auto"/>
          <w:highlight w:val="none"/>
        </w:rPr>
        <w:t>维修原则</w:t>
      </w:r>
      <w:r>
        <w:rPr>
          <w:color w:val="auto"/>
          <w:highlight w:val="none"/>
        </w:rPr>
        <w:t>：</w:t>
      </w:r>
      <w:r>
        <w:rPr>
          <w:rFonts w:hint="eastAsia"/>
          <w:color w:val="auto"/>
          <w:highlight w:val="none"/>
        </w:rPr>
        <w:t>市场</w:t>
      </w:r>
      <w:r>
        <w:rPr>
          <w:color w:val="auto"/>
          <w:highlight w:val="none"/>
        </w:rPr>
        <w:t>上有配件</w:t>
      </w:r>
      <w:r>
        <w:rPr>
          <w:rFonts w:hint="eastAsia"/>
          <w:color w:val="auto"/>
          <w:highlight w:val="none"/>
        </w:rPr>
        <w:t>或</w:t>
      </w:r>
      <w:r>
        <w:rPr>
          <w:color w:val="auto"/>
          <w:highlight w:val="none"/>
        </w:rPr>
        <w:t>有</w:t>
      </w:r>
      <w:r>
        <w:rPr>
          <w:rFonts w:hint="eastAsia"/>
          <w:color w:val="auto"/>
          <w:highlight w:val="none"/>
        </w:rPr>
        <w:t>维修</w:t>
      </w:r>
      <w:r>
        <w:rPr>
          <w:color w:val="auto"/>
          <w:highlight w:val="none"/>
        </w:rPr>
        <w:t>方案、维修费不超过设备</w:t>
      </w:r>
      <w:r>
        <w:rPr>
          <w:rFonts w:hint="eastAsia"/>
          <w:color w:val="auto"/>
          <w:highlight w:val="none"/>
        </w:rPr>
        <w:t>当年折损后价值</w:t>
      </w:r>
      <w:r>
        <w:rPr>
          <w:rFonts w:hint="eastAsia"/>
          <w:color w:val="auto"/>
          <w:highlight w:val="none"/>
          <w:lang w:eastAsia="zh-CN"/>
        </w:rPr>
        <w:t>，</w:t>
      </w:r>
      <w:r>
        <w:rPr>
          <w:rFonts w:hint="eastAsia"/>
          <w:color w:val="auto"/>
          <w:highlight w:val="none"/>
          <w:lang w:val="en-US" w:eastAsia="zh-CN"/>
        </w:rPr>
        <w:t>则需进行维修</w:t>
      </w:r>
      <w:r>
        <w:rPr>
          <w:color w:val="auto"/>
          <w:highlight w:val="none"/>
        </w:rPr>
        <w:t>；若技术</w:t>
      </w:r>
      <w:r>
        <w:rPr>
          <w:rFonts w:hint="eastAsia"/>
          <w:color w:val="auto"/>
          <w:highlight w:val="none"/>
        </w:rPr>
        <w:t>理论上</w:t>
      </w:r>
      <w:r>
        <w:rPr>
          <w:rFonts w:hint="eastAsia"/>
          <w:color w:val="auto"/>
          <w:highlight w:val="none"/>
          <w:lang w:val="en-US" w:eastAsia="zh-CN"/>
        </w:rPr>
        <w:t>设备已无法维</w:t>
      </w:r>
      <w:r>
        <w:rPr>
          <w:color w:val="auto"/>
          <w:highlight w:val="none"/>
        </w:rPr>
        <w:t>修，</w:t>
      </w:r>
      <w:r>
        <w:rPr>
          <w:rFonts w:hint="eastAsia"/>
          <w:color w:val="auto"/>
          <w:highlight w:val="none"/>
          <w:lang w:val="en-US" w:eastAsia="zh-CN"/>
        </w:rPr>
        <w:t>则</w:t>
      </w:r>
      <w:r>
        <w:rPr>
          <w:rFonts w:hint="eastAsia"/>
          <w:color w:val="auto"/>
          <w:highlight w:val="none"/>
        </w:rPr>
        <w:t>乙方</w:t>
      </w:r>
      <w:r>
        <w:rPr>
          <w:color w:val="auto"/>
          <w:highlight w:val="none"/>
        </w:rPr>
        <w:t>出《</w:t>
      </w:r>
      <w:r>
        <w:rPr>
          <w:rFonts w:hint="eastAsia"/>
          <w:color w:val="auto"/>
          <w:highlight w:val="none"/>
        </w:rPr>
        <w:t>报废</w:t>
      </w:r>
      <w:r>
        <w:rPr>
          <w:color w:val="auto"/>
          <w:highlight w:val="none"/>
        </w:rPr>
        <w:t>评估报告》</w:t>
      </w:r>
      <w:r>
        <w:rPr>
          <w:rFonts w:hint="eastAsia"/>
          <w:color w:val="auto"/>
          <w:highlight w:val="none"/>
          <w:lang w:eastAsia="zh-CN"/>
        </w:rPr>
        <w:t>，</w:t>
      </w:r>
      <w:r>
        <w:rPr>
          <w:rFonts w:hint="eastAsia"/>
          <w:color w:val="auto"/>
          <w:highlight w:val="none"/>
          <w:lang w:val="en-US" w:eastAsia="zh-CN"/>
        </w:rPr>
        <w:t>经甲方评估后走报废申请流程</w:t>
      </w:r>
      <w:r>
        <w:rPr>
          <w:color w:val="auto"/>
          <w:highlight w:val="none"/>
        </w:rPr>
        <w:t>。</w:t>
      </w:r>
      <w:r>
        <w:rPr>
          <w:rFonts w:hint="eastAsia"/>
          <w:color w:val="auto"/>
          <w:highlight w:val="none"/>
        </w:rPr>
        <w:t>如服务方违反原则，医院可请第三方鉴定机构介入出具评估报告，如评估结果确认设备仍有维修价值而该项目服务方不维修，医院有权追究项目服务方不履行合约，要求无偿提供替换设备。</w:t>
      </w:r>
      <w:r>
        <w:rPr>
          <w:color w:val="auto"/>
          <w:highlight w:val="none"/>
        </w:rPr>
        <w:t>如果</w:t>
      </w:r>
      <w:r>
        <w:rPr>
          <w:rFonts w:hint="eastAsia"/>
          <w:color w:val="auto"/>
          <w:highlight w:val="none"/>
        </w:rPr>
        <w:t>损坏高价值部件的设备仍需</w:t>
      </w:r>
      <w:r>
        <w:rPr>
          <w:color w:val="auto"/>
          <w:highlight w:val="none"/>
        </w:rPr>
        <w:t>急用</w:t>
      </w:r>
      <w:r>
        <w:rPr>
          <w:rFonts w:hint="eastAsia"/>
          <w:color w:val="auto"/>
          <w:highlight w:val="none"/>
        </w:rPr>
        <w:t>，乙方需</w:t>
      </w:r>
      <w:r>
        <w:rPr>
          <w:color w:val="auto"/>
          <w:highlight w:val="none"/>
        </w:rPr>
        <w:t>协调一台备用机临时替换，不额外收费</w:t>
      </w:r>
      <w:r>
        <w:rPr>
          <w:rFonts w:hint="eastAsia"/>
          <w:color w:val="auto"/>
          <w:highlight w:val="none"/>
        </w:rPr>
        <w:t>。</w:t>
      </w:r>
    </w:p>
    <w:p w14:paraId="12C3AF08">
      <w:pPr>
        <w:rPr>
          <w:rFonts w:ascii="宋体" w:hAnsi="宋体" w:cs="宋体"/>
          <w:color w:val="auto"/>
          <w:highlight w:val="none"/>
        </w:rPr>
      </w:pPr>
      <w:r>
        <w:rPr>
          <w:rFonts w:hint="eastAsia"/>
          <w:color w:val="auto"/>
          <w:highlight w:val="none"/>
          <w:lang w:eastAsia="zh-CN"/>
        </w:rPr>
        <w:t>如有</w:t>
      </w:r>
      <w:r>
        <w:rPr>
          <w:rFonts w:hint="eastAsia" w:ascii="宋体" w:hAnsi="宋体" w:cs="宋体"/>
          <w:color w:val="auto"/>
          <w:highlight w:val="none"/>
        </w:rPr>
        <w:t>特殊情况未能在响应时间内处理完成的，必须立即向医院相关管理部门报备。乙方无法解决服务范围内的故障或所需解决时间多于48小时的，医院亦有权聘请第三方处理故障，由此产生的费用及责任由乙方承担。</w:t>
      </w:r>
    </w:p>
    <w:p w14:paraId="743E5801">
      <w:pPr>
        <w:pStyle w:val="5"/>
        <w:spacing w:before="156" w:after="156"/>
        <w:ind w:firstLine="422"/>
        <w:rPr>
          <w:rFonts w:ascii="宋体" w:hAnsi="宋体" w:cs="宋体"/>
          <w:color w:val="auto"/>
          <w:sz w:val="21"/>
          <w:szCs w:val="21"/>
          <w:highlight w:val="none"/>
        </w:rPr>
      </w:pPr>
      <w:r>
        <w:rPr>
          <w:rFonts w:hint="eastAsia" w:ascii="宋体" w:hAnsi="宋体" w:cs="宋体"/>
          <w:color w:val="auto"/>
          <w:sz w:val="21"/>
          <w:szCs w:val="21"/>
          <w:highlight w:val="none"/>
        </w:rPr>
        <w:t>（五</w:t>
      </w:r>
      <w:r>
        <w:rPr>
          <w:rFonts w:hint="eastAsia" w:ascii="宋体" w:hAnsi="宋体" w:cs="宋体"/>
          <w:color w:val="auto"/>
          <w:sz w:val="21"/>
          <w:szCs w:val="21"/>
          <w:highlight w:val="none"/>
          <w:lang w:eastAsia="zh-CN"/>
        </w:rPr>
        <w:t>）设</w:t>
      </w:r>
      <w:r>
        <w:rPr>
          <w:rFonts w:hint="eastAsia" w:ascii="宋体" w:hAnsi="宋体" w:cs="宋体"/>
          <w:color w:val="auto"/>
          <w:sz w:val="21"/>
          <w:szCs w:val="21"/>
          <w:highlight w:val="none"/>
        </w:rPr>
        <w:t>备硬件外送维修事项，送外维修流程</w:t>
      </w:r>
    </w:p>
    <w:p w14:paraId="16C31AAC">
      <w:pPr>
        <w:rPr>
          <w:rFonts w:ascii="宋体" w:hAnsi="宋体" w:cs="宋体"/>
          <w:color w:val="auto"/>
          <w:highlight w:val="none"/>
        </w:rPr>
      </w:pPr>
      <w:r>
        <w:rPr>
          <w:rFonts w:hint="eastAsia" w:ascii="宋体" w:hAnsi="宋体" w:cs="宋体"/>
          <w:color w:val="auto"/>
          <w:highlight w:val="none"/>
        </w:rPr>
        <w:t>1.判断硬件损坏。判断硬件损坏，需送外维修时，医院信息管理部门需进行核查。</w:t>
      </w:r>
    </w:p>
    <w:p w14:paraId="55E2F925">
      <w:pPr>
        <w:rPr>
          <w:rFonts w:ascii="宋体" w:hAnsi="宋体" w:cs="宋体"/>
          <w:color w:val="auto"/>
          <w:highlight w:val="none"/>
        </w:rPr>
      </w:pPr>
      <w:r>
        <w:rPr>
          <w:rFonts w:hint="eastAsia" w:ascii="宋体" w:hAnsi="宋体" w:cs="宋体"/>
          <w:color w:val="auto"/>
          <w:highlight w:val="none"/>
        </w:rPr>
        <w:t>（1）电脑主机外送条件：</w:t>
      </w:r>
    </w:p>
    <w:p w14:paraId="7F7CF746">
      <w:pPr>
        <w:rPr>
          <w:rFonts w:ascii="宋体" w:hAnsi="宋体" w:cs="宋体"/>
          <w:color w:val="auto"/>
          <w:highlight w:val="none"/>
        </w:rPr>
      </w:pPr>
      <w:r>
        <w:rPr>
          <w:rFonts w:hint="eastAsia" w:ascii="宋体" w:hAnsi="宋体" w:cs="宋体"/>
          <w:color w:val="auto"/>
          <w:highlight w:val="none"/>
        </w:rPr>
        <w:t xml:space="preserve"> ①电源测试，更换一个新的电源，如电源问题导致无法开机，无需送外。</w:t>
      </w:r>
    </w:p>
    <w:p w14:paraId="78273BC7">
      <w:pPr>
        <w:rPr>
          <w:rFonts w:ascii="宋体" w:hAnsi="宋体" w:cs="宋体"/>
          <w:color w:val="auto"/>
          <w:highlight w:val="none"/>
        </w:rPr>
      </w:pPr>
      <w:r>
        <w:rPr>
          <w:rFonts w:hint="eastAsia" w:ascii="宋体" w:hAnsi="宋体" w:cs="宋体"/>
          <w:color w:val="auto"/>
          <w:highlight w:val="none"/>
        </w:rPr>
        <w:t xml:space="preserve"> ②更换可用电源还是开机没反应或者硬件自检不能通过，可送外维修。</w:t>
      </w:r>
    </w:p>
    <w:p w14:paraId="142D2B2B">
      <w:pPr>
        <w:rPr>
          <w:rFonts w:ascii="宋体" w:hAnsi="宋体" w:cs="宋体"/>
          <w:color w:val="auto"/>
          <w:highlight w:val="none"/>
        </w:rPr>
      </w:pPr>
      <w:r>
        <w:rPr>
          <w:rFonts w:hint="eastAsia" w:ascii="宋体" w:hAnsi="宋体" w:cs="宋体"/>
          <w:color w:val="auto"/>
          <w:highlight w:val="none"/>
        </w:rPr>
        <w:t xml:space="preserve"> ③特殊情况机器除外（如经排除操作系统问题之外开机自动重启、死机等情况）。</w:t>
      </w:r>
    </w:p>
    <w:p w14:paraId="23DDDD6D">
      <w:pPr>
        <w:rPr>
          <w:rFonts w:ascii="宋体" w:hAnsi="宋体" w:cs="宋体"/>
          <w:color w:val="auto"/>
          <w:highlight w:val="none"/>
        </w:rPr>
      </w:pPr>
      <w:r>
        <w:rPr>
          <w:rFonts w:hint="eastAsia" w:ascii="宋体" w:hAnsi="宋体" w:cs="宋体"/>
          <w:color w:val="auto"/>
          <w:highlight w:val="none"/>
        </w:rPr>
        <w:t>（2）显示器外送条件：</w:t>
      </w:r>
    </w:p>
    <w:p w14:paraId="1184590B">
      <w:pPr>
        <w:rPr>
          <w:rFonts w:ascii="宋体" w:hAnsi="宋体" w:cs="宋体"/>
          <w:color w:val="auto"/>
          <w:highlight w:val="none"/>
        </w:rPr>
      </w:pPr>
      <w:r>
        <w:rPr>
          <w:rFonts w:hint="eastAsia" w:ascii="宋体" w:hAnsi="宋体" w:cs="宋体"/>
          <w:color w:val="auto"/>
          <w:highlight w:val="none"/>
        </w:rPr>
        <w:t xml:space="preserve">     ①开机无法通电。</w:t>
      </w:r>
    </w:p>
    <w:p w14:paraId="1D58C88D">
      <w:pPr>
        <w:rPr>
          <w:rFonts w:ascii="宋体" w:hAnsi="宋体" w:cs="宋体"/>
          <w:color w:val="auto"/>
          <w:highlight w:val="none"/>
        </w:rPr>
      </w:pPr>
      <w:r>
        <w:rPr>
          <w:rFonts w:hint="eastAsia" w:ascii="宋体" w:hAnsi="宋体" w:cs="宋体"/>
          <w:color w:val="auto"/>
          <w:highlight w:val="none"/>
        </w:rPr>
        <w:t xml:space="preserve">     ②其他问题（如不稳定一闪一闪等）。</w:t>
      </w:r>
    </w:p>
    <w:p w14:paraId="72127C9F">
      <w:pPr>
        <w:rPr>
          <w:rFonts w:ascii="宋体" w:hAnsi="宋体" w:cs="宋体"/>
          <w:color w:val="auto"/>
          <w:highlight w:val="none"/>
        </w:rPr>
      </w:pPr>
      <w:r>
        <w:rPr>
          <w:rFonts w:hint="eastAsia" w:ascii="宋体" w:hAnsi="宋体" w:cs="宋体"/>
          <w:color w:val="auto"/>
          <w:highlight w:val="none"/>
        </w:rPr>
        <w:t>（3）打印机外送条件：</w:t>
      </w:r>
    </w:p>
    <w:p w14:paraId="4A43D0D4">
      <w:pPr>
        <w:rPr>
          <w:rFonts w:ascii="宋体" w:hAnsi="宋体" w:cs="宋体"/>
          <w:color w:val="auto"/>
          <w:highlight w:val="none"/>
        </w:rPr>
      </w:pPr>
      <w:r>
        <w:rPr>
          <w:rFonts w:hint="eastAsia" w:ascii="宋体" w:hAnsi="宋体" w:cs="宋体"/>
          <w:color w:val="auto"/>
          <w:highlight w:val="none"/>
        </w:rPr>
        <w:t xml:space="preserve">     ①针式打印机断针，现场换针，无需送外。</w:t>
      </w:r>
    </w:p>
    <w:p w14:paraId="26AF329A">
      <w:pPr>
        <w:rPr>
          <w:rFonts w:ascii="宋体" w:hAnsi="宋体" w:cs="宋体"/>
          <w:color w:val="auto"/>
          <w:highlight w:val="none"/>
        </w:rPr>
      </w:pPr>
      <w:r>
        <w:rPr>
          <w:rFonts w:hint="eastAsia" w:ascii="宋体" w:hAnsi="宋体" w:cs="宋体"/>
          <w:color w:val="auto"/>
          <w:highlight w:val="none"/>
        </w:rPr>
        <w:t xml:space="preserve">     ②其他非耗材导致无法打印的。</w:t>
      </w:r>
    </w:p>
    <w:p w14:paraId="2A3512C4">
      <w:pPr>
        <w:rPr>
          <w:rFonts w:ascii="宋体" w:hAnsi="宋体" w:cs="宋体"/>
          <w:color w:val="auto"/>
          <w:highlight w:val="none"/>
        </w:rPr>
      </w:pPr>
      <w:r>
        <w:rPr>
          <w:rFonts w:hint="eastAsia" w:ascii="宋体" w:hAnsi="宋体" w:cs="宋体"/>
          <w:color w:val="auto"/>
          <w:highlight w:val="none"/>
        </w:rPr>
        <w:t>2.经医院信息管理部门确认已过保修期的机器。</w:t>
      </w:r>
    </w:p>
    <w:p w14:paraId="511DB45B">
      <w:pPr>
        <w:rPr>
          <w:rFonts w:ascii="宋体" w:hAnsi="宋体" w:cs="宋体"/>
          <w:color w:val="auto"/>
          <w:highlight w:val="none"/>
        </w:rPr>
      </w:pPr>
      <w:r>
        <w:rPr>
          <w:rFonts w:hint="eastAsia" w:ascii="宋体" w:hAnsi="宋体" w:cs="宋体"/>
          <w:color w:val="auto"/>
          <w:highlight w:val="none"/>
        </w:rPr>
        <w:t>3.由乙方驻守工程师搬至用户医院信息管理部门安排的维修场所。</w:t>
      </w:r>
    </w:p>
    <w:p w14:paraId="7B9CE803">
      <w:pPr>
        <w:rPr>
          <w:rFonts w:ascii="宋体" w:hAnsi="宋体" w:cs="宋体"/>
          <w:color w:val="auto"/>
          <w:highlight w:val="none"/>
        </w:rPr>
      </w:pPr>
      <w:r>
        <w:rPr>
          <w:rFonts w:hint="eastAsia" w:ascii="宋体" w:hAnsi="宋体" w:cs="宋体"/>
          <w:color w:val="auto"/>
          <w:highlight w:val="none"/>
        </w:rPr>
        <w:t>4.专人登记机器编码，判断损坏配件元件并做好记录。</w:t>
      </w:r>
    </w:p>
    <w:p w14:paraId="4D7DBCF1">
      <w:pPr>
        <w:rPr>
          <w:rFonts w:ascii="宋体" w:hAnsi="宋体" w:cs="宋体"/>
          <w:color w:val="auto"/>
          <w:highlight w:val="none"/>
        </w:rPr>
      </w:pPr>
      <w:r>
        <w:rPr>
          <w:rFonts w:hint="eastAsia" w:ascii="宋体" w:hAnsi="宋体" w:cs="宋体"/>
          <w:color w:val="auto"/>
          <w:highlight w:val="none"/>
        </w:rPr>
        <w:t>5.用户医院信息管理部门出放行条。</w:t>
      </w:r>
    </w:p>
    <w:p w14:paraId="6BC63B25">
      <w:pPr>
        <w:rPr>
          <w:rFonts w:ascii="宋体" w:hAnsi="宋体" w:cs="宋体"/>
          <w:color w:val="auto"/>
          <w:highlight w:val="none"/>
        </w:rPr>
      </w:pPr>
      <w:r>
        <w:rPr>
          <w:rFonts w:hint="eastAsia" w:ascii="宋体" w:hAnsi="宋体" w:cs="宋体"/>
          <w:color w:val="auto"/>
          <w:highlight w:val="none"/>
        </w:rPr>
        <w:t>6.维修好由乙方驻守工程师送回医院信息管理部门安排的维修场所，测试正常后，驻守工程师送回原使用科室，并且帮助使用科室将设备连接好，启动设备，试验正常工作后才算完成。</w:t>
      </w:r>
    </w:p>
    <w:p w14:paraId="2ED7F33A">
      <w:pPr>
        <w:rPr>
          <w:rFonts w:ascii="宋体" w:hAnsi="宋体" w:cs="宋体"/>
          <w:color w:val="auto"/>
          <w:highlight w:val="none"/>
        </w:rPr>
      </w:pPr>
      <w:r>
        <w:rPr>
          <w:rFonts w:hint="eastAsia" w:ascii="宋体" w:hAnsi="宋体" w:cs="宋体"/>
          <w:color w:val="auto"/>
          <w:highlight w:val="none"/>
        </w:rPr>
        <w:t>7.服务范围内送外维修签单，应在测试正常后，送到使用科室并要求负责人在维修签单上签名。服务范围外送外维修费用签单，应在测试没问题后，由用户医院信息管理部门负责人签名，再与设备</w:t>
      </w:r>
      <w:r>
        <w:rPr>
          <w:rFonts w:hint="eastAsia" w:ascii="宋体" w:hAnsi="宋体" w:cs="宋体"/>
          <w:color w:val="auto"/>
          <w:highlight w:val="none"/>
          <w:lang w:eastAsia="zh-CN"/>
        </w:rPr>
        <w:t>一起</w:t>
      </w:r>
      <w:r>
        <w:rPr>
          <w:rFonts w:hint="eastAsia" w:ascii="宋体" w:hAnsi="宋体" w:cs="宋体"/>
          <w:color w:val="auto"/>
          <w:highlight w:val="none"/>
        </w:rPr>
        <w:t>送到使用科室并要求负责人在维修费用签单上签名。</w:t>
      </w:r>
    </w:p>
    <w:p w14:paraId="2D9ACA6B">
      <w:pPr>
        <w:rPr>
          <w:rFonts w:ascii="宋体" w:hAnsi="宋体" w:cs="宋体"/>
          <w:color w:val="auto"/>
          <w:highlight w:val="none"/>
        </w:rPr>
      </w:pPr>
      <w:r>
        <w:rPr>
          <w:rFonts w:hint="eastAsia" w:ascii="宋体" w:hAnsi="宋体" w:cs="宋体"/>
          <w:color w:val="auto"/>
          <w:highlight w:val="none"/>
        </w:rPr>
        <w:t>8.如需要更换配件，更换配件必须保证为原装配件，并保留被更换的配件，如有特殊情况，必须与用户医院信息管理部门协商认同后更换与原配件应用功能与技术指标相近的配件。</w:t>
      </w:r>
    </w:p>
    <w:p w14:paraId="26543640">
      <w:pPr>
        <w:rPr>
          <w:rFonts w:ascii="宋体" w:hAnsi="宋体" w:cs="宋体"/>
          <w:color w:val="auto"/>
          <w:highlight w:val="none"/>
        </w:rPr>
      </w:pPr>
      <w:r>
        <w:rPr>
          <w:rFonts w:hint="eastAsia" w:ascii="宋体" w:hAnsi="宋体" w:cs="宋体"/>
          <w:color w:val="auto"/>
          <w:highlight w:val="none"/>
        </w:rPr>
        <w:t>9.采购人的院领导、人事、财务、纪委监察等敏感部门电脑硬件坏需要送外修时，必须有采购人医院信息管理部门人员在场情况下把硬盘拆下再外送。</w:t>
      </w:r>
    </w:p>
    <w:p w14:paraId="07B204C1">
      <w:pPr>
        <w:rPr>
          <w:rFonts w:ascii="宋体" w:hAnsi="宋体" w:cs="宋体"/>
          <w:color w:val="auto"/>
          <w:highlight w:val="none"/>
        </w:rPr>
      </w:pPr>
      <w:r>
        <w:rPr>
          <w:rFonts w:hint="eastAsia" w:ascii="宋体" w:hAnsi="宋体" w:cs="宋体"/>
          <w:color w:val="auto"/>
          <w:highlight w:val="none"/>
        </w:rPr>
        <w:t>10.乙方未遵守送外维修流程及乙方送外维修导致采购人遭受损失的，需承担违约责任，应全额赔偿采购人损失。</w:t>
      </w:r>
    </w:p>
    <w:p w14:paraId="536D08E0">
      <w:pPr>
        <w:rPr>
          <w:rFonts w:ascii="宋体" w:hAnsi="宋体" w:cs="宋体"/>
          <w:color w:val="auto"/>
          <w:highlight w:val="none"/>
        </w:rPr>
      </w:pPr>
      <w:r>
        <w:rPr>
          <w:rFonts w:hint="eastAsia" w:ascii="宋体" w:hAnsi="宋体" w:cs="宋体"/>
          <w:color w:val="auto"/>
          <w:highlight w:val="none"/>
        </w:rPr>
        <w:t>11乙方如协助本合同范围外维修</w:t>
      </w:r>
      <w:r>
        <w:rPr>
          <w:rFonts w:hint="eastAsia" w:ascii="宋体" w:hAnsi="宋体" w:cs="宋体"/>
          <w:color w:val="auto"/>
          <w:highlight w:val="none"/>
          <w:lang w:eastAsia="zh-CN"/>
        </w:rPr>
        <w:t>，</w:t>
      </w:r>
      <w:r>
        <w:rPr>
          <w:rFonts w:hint="eastAsia" w:ascii="宋体" w:hAnsi="宋体" w:cs="宋体"/>
          <w:color w:val="auto"/>
          <w:highlight w:val="none"/>
        </w:rPr>
        <w:t>其维修费用可另计</w:t>
      </w:r>
      <w:r>
        <w:rPr>
          <w:rFonts w:hint="eastAsia" w:ascii="宋体" w:hAnsi="宋体" w:cs="宋体"/>
          <w:color w:val="auto"/>
          <w:highlight w:val="none"/>
          <w:lang w:eastAsia="zh-CN"/>
        </w:rPr>
        <w:t>，</w:t>
      </w:r>
      <w:r>
        <w:rPr>
          <w:rFonts w:hint="eastAsia" w:ascii="宋体" w:hAnsi="宋体" w:cs="宋体"/>
          <w:color w:val="auto"/>
          <w:highlight w:val="none"/>
        </w:rPr>
        <w:t>但必须事前向采购人医院信息管理部门汇报，经同意后方能按采购人的采购、维修流程进行维修，否则采购人有权拒绝向乙方支付相关费用。</w:t>
      </w:r>
    </w:p>
    <w:p w14:paraId="18FA4C06">
      <w:pPr>
        <w:rPr>
          <w:rFonts w:ascii="宋体" w:hAnsi="宋体" w:cs="宋体"/>
          <w:color w:val="auto"/>
          <w:highlight w:val="none"/>
        </w:rPr>
      </w:pPr>
    </w:p>
    <w:p w14:paraId="55434311">
      <w:pPr>
        <w:pStyle w:val="4"/>
        <w:spacing w:before="156" w:after="156"/>
        <w:ind w:firstLine="422"/>
        <w:rPr>
          <w:rFonts w:cs="宋体"/>
          <w:color w:val="auto"/>
          <w:sz w:val="21"/>
          <w:szCs w:val="21"/>
          <w:highlight w:val="none"/>
        </w:rPr>
      </w:pPr>
      <w:r>
        <w:rPr>
          <w:rFonts w:hint="eastAsia" w:cs="宋体"/>
          <w:color w:val="auto"/>
          <w:sz w:val="21"/>
          <w:szCs w:val="21"/>
          <w:highlight w:val="none"/>
        </w:rPr>
        <w:t>3.4服务团队人员组成和岗位职责要求</w:t>
      </w:r>
    </w:p>
    <w:p w14:paraId="1070C88F">
      <w:pPr>
        <w:rPr>
          <w:rFonts w:ascii="宋体" w:hAnsi="宋体" w:cs="宋体"/>
          <w:b/>
          <w:snapToGrid w:val="0"/>
          <w:color w:val="auto"/>
          <w:highlight w:val="none"/>
        </w:rPr>
      </w:pPr>
      <w:r>
        <w:rPr>
          <w:rFonts w:hint="eastAsia" w:ascii="宋体" w:hAnsi="宋体" w:cs="宋体"/>
          <w:snapToGrid w:val="0"/>
          <w:color w:val="auto"/>
          <w:highlight w:val="none"/>
        </w:rPr>
        <w:t>本项目采用以驻场服务为主，机动为辅的混合服务模式，乙方</w:t>
      </w:r>
      <w:r>
        <w:rPr>
          <w:rFonts w:hint="eastAsia" w:ascii="宋体" w:hAnsi="宋体" w:cs="宋体"/>
          <w:b/>
          <w:bCs/>
          <w:snapToGrid w:val="0"/>
          <w:color w:val="auto"/>
          <w:highlight w:val="none"/>
        </w:rPr>
        <w:t>驻场</w:t>
      </w:r>
      <w:r>
        <w:rPr>
          <w:rFonts w:hint="eastAsia" w:ascii="宋体" w:hAnsi="宋体" w:cs="宋体"/>
          <w:b/>
          <w:snapToGrid w:val="0"/>
          <w:color w:val="auto"/>
          <w:highlight w:val="none"/>
        </w:rPr>
        <w:t>维护服务团队及人员要求如下：</w:t>
      </w:r>
    </w:p>
    <w:p w14:paraId="51CAC035">
      <w:pPr>
        <w:rPr>
          <w:rFonts w:ascii="宋体" w:hAnsi="宋体" w:cs="宋体"/>
          <w:snapToGrid w:val="0"/>
          <w:color w:val="auto"/>
          <w:highlight w:val="none"/>
        </w:rPr>
      </w:pPr>
      <w:r>
        <w:rPr>
          <w:rFonts w:hint="eastAsia" w:ascii="宋体" w:hAnsi="宋体" w:cs="宋体"/>
          <w:snapToGrid w:val="0"/>
          <w:color w:val="auto"/>
          <w:highlight w:val="none"/>
        </w:rPr>
        <w:t>▲1、根据服务内容，服务供应商应具备相应的管理体系认证。（提供证明材料）</w:t>
      </w:r>
    </w:p>
    <w:p w14:paraId="32404BE8">
      <w:pPr>
        <w:ind w:firstLine="422"/>
        <w:rPr>
          <w:rFonts w:ascii="宋体" w:hAnsi="宋体" w:cs="宋体"/>
          <w:b/>
          <w:snapToGrid w:val="0"/>
          <w:color w:val="auto"/>
          <w:highlight w:val="none"/>
        </w:rPr>
      </w:pPr>
      <w:r>
        <w:rPr>
          <w:rFonts w:hint="eastAsia" w:ascii="宋体" w:hAnsi="宋体" w:cs="宋体"/>
          <w:b/>
          <w:snapToGrid w:val="0"/>
          <w:color w:val="auto"/>
          <w:highlight w:val="none"/>
          <w:lang w:eastAsia="zh-CN"/>
        </w:rPr>
        <w:t>2.</w:t>
      </w:r>
      <w:r>
        <w:rPr>
          <w:rFonts w:hint="eastAsia" w:ascii="宋体" w:hAnsi="宋体" w:cs="宋体"/>
          <w:b/>
          <w:bCs/>
          <w:snapToGrid w:val="0"/>
          <w:color w:val="auto"/>
          <w:highlight w:val="none"/>
        </w:rPr>
        <w:t>驻场</w:t>
      </w:r>
      <w:r>
        <w:rPr>
          <w:rFonts w:hint="eastAsia" w:ascii="宋体" w:hAnsi="宋体" w:cs="宋体"/>
          <w:b/>
          <w:snapToGrid w:val="0"/>
          <w:color w:val="auto"/>
          <w:highlight w:val="none"/>
        </w:rPr>
        <w:t>维护服务人员要求：</w:t>
      </w:r>
    </w:p>
    <w:p w14:paraId="67ACC9C9">
      <w:pPr>
        <w:rPr>
          <w:rFonts w:ascii="宋体" w:hAnsi="宋体" w:cs="宋体"/>
          <w:snapToGrid w:val="0"/>
          <w:color w:val="auto"/>
          <w:highlight w:val="none"/>
        </w:rPr>
      </w:pPr>
      <w:r>
        <w:rPr>
          <w:rFonts w:hint="eastAsia" w:ascii="宋体" w:hAnsi="宋体" w:cs="宋体"/>
          <w:snapToGrid w:val="0"/>
          <w:color w:val="auto"/>
          <w:highlight w:val="none"/>
        </w:rPr>
        <w:t>▲（1）乙方要安排专责服务团队驻场，负责接听报障、登记故障信息、故障情况分类、故障修复等工作。</w:t>
      </w:r>
    </w:p>
    <w:p w14:paraId="6AC6214C">
      <w:pPr>
        <w:rPr>
          <w:rFonts w:ascii="宋体" w:hAnsi="宋体" w:cs="宋体"/>
          <w:snapToGrid w:val="0"/>
          <w:color w:val="auto"/>
          <w:highlight w:val="none"/>
        </w:rPr>
      </w:pPr>
      <w:r>
        <w:rPr>
          <w:rFonts w:hint="eastAsia" w:ascii="宋体" w:hAnsi="宋体" w:cs="宋体"/>
          <w:snapToGrid w:val="0"/>
          <w:color w:val="auto"/>
          <w:highlight w:val="none"/>
        </w:rPr>
        <w:t>（2）</w:t>
      </w:r>
      <w:r>
        <w:rPr>
          <w:rFonts w:hint="eastAsia" w:ascii="宋体" w:hAnsi="宋体" w:cs="宋体"/>
          <w:color w:val="auto"/>
          <w:highlight w:val="none"/>
        </w:rPr>
        <w:t>★</w:t>
      </w:r>
      <w:r>
        <w:rPr>
          <w:rFonts w:hint="eastAsia" w:ascii="宋体" w:hAnsi="宋体" w:cs="宋体"/>
          <w:snapToGrid w:val="0"/>
          <w:color w:val="auto"/>
          <w:highlight w:val="none"/>
        </w:rPr>
        <w:t>乙方就设备维护服务须安排驻场项目主管及技术工程师不少于9岗位，驻场人员需要实时响应最终医院服务请求科室的服务请求，及时为医院服务请求科室提供现场维护服务。（提供承诺函）</w:t>
      </w:r>
    </w:p>
    <w:p w14:paraId="6C106ABB">
      <w:pPr>
        <w:rPr>
          <w:rFonts w:ascii="宋体" w:hAnsi="宋体" w:cs="宋体"/>
          <w:color w:val="auto"/>
          <w:highlight w:val="none"/>
        </w:rPr>
      </w:pPr>
      <w:r>
        <w:rPr>
          <w:rFonts w:hint="eastAsia" w:ascii="宋体" w:hAnsi="宋体" w:cs="宋体"/>
          <w:snapToGrid w:val="0"/>
          <w:color w:val="auto"/>
          <w:highlight w:val="none"/>
        </w:rPr>
        <w:t>★</w:t>
      </w:r>
      <w:r>
        <w:rPr>
          <w:rFonts w:hint="eastAsia" w:ascii="宋体" w:hAnsi="宋体" w:cs="宋体"/>
          <w:color w:val="auto"/>
          <w:highlight w:val="none"/>
        </w:rPr>
        <w:t>（3）</w:t>
      </w:r>
      <w:r>
        <w:rPr>
          <w:rFonts w:hint="eastAsia" w:ascii="宋体" w:hAnsi="宋体" w:cs="宋体"/>
          <w:snapToGrid w:val="0"/>
          <w:color w:val="auto"/>
          <w:highlight w:val="none"/>
        </w:rPr>
        <w:t>在合同期间，应保证项目团队成员相对固定，中标方未经采购人允许不可随意更换团队项目负责人、工程师，禁止任何变相更换团队人员的行为</w:t>
      </w:r>
      <w:r>
        <w:rPr>
          <w:rFonts w:hint="eastAsia" w:ascii="宋体" w:hAnsi="宋体" w:cs="宋体"/>
          <w:snapToGrid w:val="0"/>
          <w:color w:val="auto"/>
          <w:highlight w:val="none"/>
          <w:lang w:eastAsia="zh-CN"/>
        </w:rPr>
        <w:t>（</w:t>
      </w:r>
      <w:r>
        <w:rPr>
          <w:rFonts w:hint="eastAsia" w:ascii="宋体" w:hAnsi="宋体" w:cs="宋体"/>
          <w:snapToGrid w:val="0"/>
          <w:color w:val="auto"/>
          <w:highlight w:val="none"/>
        </w:rPr>
        <w:t>除离职、病假、产假等法定情形外</w:t>
      </w:r>
      <w:r>
        <w:rPr>
          <w:rFonts w:hint="eastAsia" w:ascii="宋体" w:hAnsi="宋体" w:cs="宋体"/>
          <w:snapToGrid w:val="0"/>
          <w:color w:val="auto"/>
          <w:highlight w:val="none"/>
          <w:lang w:eastAsia="zh-CN"/>
        </w:rPr>
        <w:t>）</w:t>
      </w:r>
      <w:r>
        <w:rPr>
          <w:rFonts w:hint="eastAsia" w:ascii="宋体" w:hAnsi="宋体" w:cs="宋体"/>
          <w:snapToGrid w:val="0"/>
          <w:color w:val="auto"/>
          <w:highlight w:val="none"/>
        </w:rPr>
        <w:t>，否则，采购人有权终止项目并收取合同金额10%的违约金。（提供承诺函）</w:t>
      </w:r>
    </w:p>
    <w:p w14:paraId="4CDB78A0">
      <w:pPr>
        <w:rPr>
          <w:rFonts w:ascii="宋体" w:hAnsi="宋体" w:cs="宋体"/>
          <w:color w:val="auto"/>
          <w:highlight w:val="none"/>
        </w:rPr>
      </w:pPr>
      <w:r>
        <w:rPr>
          <w:rFonts w:hint="eastAsia" w:ascii="宋体" w:hAnsi="宋体" w:cs="宋体"/>
          <w:color w:val="auto"/>
          <w:highlight w:val="none"/>
        </w:rPr>
        <w:t>▲3、人员具体岗位职责和要求如下：</w:t>
      </w:r>
    </w:p>
    <w:tbl>
      <w:tblPr>
        <w:tblStyle w:val="15"/>
        <w:tblW w:w="918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75"/>
        <w:gridCol w:w="851"/>
        <w:gridCol w:w="930"/>
        <w:gridCol w:w="804"/>
        <w:gridCol w:w="5920"/>
      </w:tblGrid>
      <w:tr w14:paraId="244763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blHeader/>
          <w:jc w:val="center"/>
        </w:trPr>
        <w:tc>
          <w:tcPr>
            <w:tcW w:w="675" w:type="dxa"/>
            <w:vAlign w:val="center"/>
          </w:tcPr>
          <w:p w14:paraId="1AAF7329">
            <w:pPr>
              <w:ind w:firstLine="0" w:firstLineChars="0"/>
              <w:rPr>
                <w:rFonts w:ascii="宋体" w:hAnsi="宋体" w:cs="宋体"/>
                <w:color w:val="auto"/>
                <w:highlight w:val="none"/>
              </w:rPr>
            </w:pPr>
            <w:r>
              <w:rPr>
                <w:rFonts w:hint="eastAsia" w:ascii="宋体" w:hAnsi="宋体" w:cs="宋体"/>
                <w:color w:val="auto"/>
                <w:highlight w:val="none"/>
              </w:rPr>
              <w:t>序号</w:t>
            </w:r>
          </w:p>
        </w:tc>
        <w:tc>
          <w:tcPr>
            <w:tcW w:w="851" w:type="dxa"/>
            <w:vAlign w:val="center"/>
          </w:tcPr>
          <w:p w14:paraId="57E1A7FC">
            <w:pPr>
              <w:ind w:firstLine="0" w:firstLineChars="0"/>
              <w:rPr>
                <w:rFonts w:ascii="宋体" w:hAnsi="宋体" w:cs="宋体"/>
                <w:color w:val="auto"/>
                <w:highlight w:val="none"/>
              </w:rPr>
            </w:pPr>
            <w:r>
              <w:rPr>
                <w:rFonts w:hint="eastAsia" w:ascii="宋体" w:hAnsi="宋体" w:cs="宋体"/>
                <w:color w:val="auto"/>
                <w:highlight w:val="none"/>
              </w:rPr>
              <w:t>岗位</w:t>
            </w:r>
          </w:p>
        </w:tc>
        <w:tc>
          <w:tcPr>
            <w:tcW w:w="930" w:type="dxa"/>
            <w:vAlign w:val="center"/>
          </w:tcPr>
          <w:p w14:paraId="06F66251">
            <w:pPr>
              <w:ind w:firstLine="0" w:firstLineChars="0"/>
              <w:rPr>
                <w:rFonts w:ascii="宋体" w:hAnsi="宋体" w:cs="宋体"/>
                <w:color w:val="auto"/>
                <w:highlight w:val="none"/>
              </w:rPr>
            </w:pPr>
            <w:r>
              <w:rPr>
                <w:rFonts w:hint="eastAsia" w:ascii="宋体" w:hAnsi="宋体" w:cs="宋体"/>
                <w:color w:val="auto"/>
                <w:highlight w:val="none"/>
              </w:rPr>
              <w:t>数量</w:t>
            </w:r>
          </w:p>
        </w:tc>
        <w:tc>
          <w:tcPr>
            <w:tcW w:w="804" w:type="dxa"/>
            <w:vAlign w:val="center"/>
          </w:tcPr>
          <w:p w14:paraId="352662E4">
            <w:pPr>
              <w:ind w:firstLine="0" w:firstLineChars="0"/>
              <w:rPr>
                <w:rFonts w:ascii="宋体" w:hAnsi="宋体" w:cs="宋体"/>
                <w:color w:val="auto"/>
                <w:highlight w:val="none"/>
              </w:rPr>
            </w:pPr>
            <w:r>
              <w:rPr>
                <w:rFonts w:hint="eastAsia" w:ascii="宋体" w:hAnsi="宋体" w:cs="宋体"/>
                <w:color w:val="auto"/>
                <w:highlight w:val="none"/>
              </w:rPr>
              <w:t>是否驻场</w:t>
            </w:r>
          </w:p>
        </w:tc>
        <w:tc>
          <w:tcPr>
            <w:tcW w:w="5920" w:type="dxa"/>
            <w:vAlign w:val="center"/>
          </w:tcPr>
          <w:p w14:paraId="1CAC97C7">
            <w:pPr>
              <w:rPr>
                <w:rFonts w:ascii="宋体" w:hAnsi="宋体" w:cs="宋体"/>
                <w:color w:val="auto"/>
                <w:highlight w:val="none"/>
              </w:rPr>
            </w:pPr>
            <w:r>
              <w:rPr>
                <w:rFonts w:hint="eastAsia" w:ascii="宋体" w:hAnsi="宋体" w:cs="宋体"/>
                <w:color w:val="auto"/>
                <w:highlight w:val="none"/>
              </w:rPr>
              <w:t>职责和要求</w:t>
            </w:r>
          </w:p>
        </w:tc>
      </w:tr>
      <w:tr w14:paraId="596D03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75" w:type="dxa"/>
            <w:vAlign w:val="center"/>
          </w:tcPr>
          <w:p w14:paraId="61C85231">
            <w:pPr>
              <w:ind w:firstLine="0" w:firstLineChars="0"/>
              <w:rPr>
                <w:rFonts w:ascii="宋体" w:hAnsi="宋体" w:cs="宋体"/>
                <w:color w:val="auto"/>
                <w:highlight w:val="none"/>
              </w:rPr>
            </w:pPr>
            <w:r>
              <w:rPr>
                <w:rFonts w:hint="eastAsia" w:ascii="宋体" w:hAnsi="宋体" w:cs="宋体"/>
                <w:color w:val="auto"/>
                <w:highlight w:val="none"/>
              </w:rPr>
              <w:t>1</w:t>
            </w:r>
          </w:p>
        </w:tc>
        <w:tc>
          <w:tcPr>
            <w:tcW w:w="851" w:type="dxa"/>
            <w:vAlign w:val="center"/>
          </w:tcPr>
          <w:p w14:paraId="5D061A49">
            <w:pPr>
              <w:ind w:firstLine="0" w:firstLineChars="0"/>
              <w:rPr>
                <w:rFonts w:ascii="宋体" w:hAnsi="宋体" w:cs="宋体"/>
                <w:color w:val="auto"/>
                <w:highlight w:val="none"/>
              </w:rPr>
            </w:pPr>
            <w:r>
              <w:rPr>
                <w:rFonts w:hint="eastAsia" w:ascii="宋体" w:hAnsi="宋体" w:cs="宋体"/>
                <w:color w:val="auto"/>
                <w:highlight w:val="none"/>
              </w:rPr>
              <w:t>项目负责人</w:t>
            </w:r>
          </w:p>
        </w:tc>
        <w:tc>
          <w:tcPr>
            <w:tcW w:w="930" w:type="dxa"/>
            <w:vAlign w:val="center"/>
          </w:tcPr>
          <w:p w14:paraId="4E2B3F5B">
            <w:pPr>
              <w:ind w:firstLine="0" w:firstLineChars="0"/>
              <w:rPr>
                <w:rFonts w:ascii="宋体" w:hAnsi="宋体" w:cs="宋体"/>
                <w:color w:val="auto"/>
                <w:highlight w:val="none"/>
              </w:rPr>
            </w:pPr>
            <w:r>
              <w:rPr>
                <w:rFonts w:hint="eastAsia" w:ascii="宋体" w:hAnsi="宋体" w:cs="宋体"/>
                <w:color w:val="auto"/>
                <w:highlight w:val="none"/>
              </w:rPr>
              <w:t>1人</w:t>
            </w:r>
          </w:p>
        </w:tc>
        <w:tc>
          <w:tcPr>
            <w:tcW w:w="804" w:type="dxa"/>
            <w:vAlign w:val="center"/>
          </w:tcPr>
          <w:p w14:paraId="6C2A61EB">
            <w:pPr>
              <w:ind w:firstLine="0" w:firstLineChars="0"/>
              <w:rPr>
                <w:rFonts w:ascii="宋体" w:hAnsi="宋体" w:cs="宋体"/>
                <w:color w:val="auto"/>
                <w:highlight w:val="none"/>
              </w:rPr>
            </w:pPr>
            <w:r>
              <w:rPr>
                <w:rFonts w:hint="eastAsia" w:ascii="宋体" w:hAnsi="宋体" w:cs="宋体"/>
                <w:color w:val="auto"/>
                <w:highlight w:val="none"/>
              </w:rPr>
              <w:t>不驻场</w:t>
            </w:r>
          </w:p>
        </w:tc>
        <w:tc>
          <w:tcPr>
            <w:tcW w:w="5920" w:type="dxa"/>
            <w:vAlign w:val="center"/>
          </w:tcPr>
          <w:p w14:paraId="200306C9">
            <w:pPr>
              <w:numPr>
                <w:ilvl w:val="0"/>
                <w:numId w:val="4"/>
              </w:numPr>
              <w:spacing w:line="288" w:lineRule="auto"/>
              <w:ind w:firstLineChars="0"/>
              <w:rPr>
                <w:rFonts w:ascii="宋体" w:hAnsi="宋体" w:cs="宋体"/>
                <w:color w:val="auto"/>
                <w:highlight w:val="none"/>
              </w:rPr>
            </w:pPr>
            <w:r>
              <w:rPr>
                <w:rFonts w:hint="eastAsia" w:ascii="宋体" w:hAnsi="宋体" w:cs="宋体"/>
                <w:color w:val="auto"/>
                <w:highlight w:val="none"/>
              </w:rPr>
              <w:t>负责该项目的设计，实施、反馈、从事5年以上同类项目经验；具有信息系统项目管理和通过信息安全工程师认证</w:t>
            </w:r>
            <w:r>
              <w:rPr>
                <w:rFonts w:hint="eastAsia" w:ascii="宋体" w:hAnsi="宋体" w:cs="宋体"/>
                <w:color w:val="auto"/>
                <w:highlight w:val="none"/>
                <w:lang w:eastAsia="zh-CN"/>
              </w:rPr>
              <w:t>，具</w:t>
            </w:r>
            <w:r>
              <w:rPr>
                <w:rFonts w:hint="eastAsia" w:ascii="宋体" w:hAnsi="宋体" w:cs="宋体"/>
                <w:color w:val="auto"/>
                <w:highlight w:val="none"/>
              </w:rPr>
              <w:t>有较强的流程设计和人力资源综合管理能力，能保证服务团队人员的稳定性、连续性和整体服务质量的能力和经验。</w:t>
            </w:r>
          </w:p>
          <w:p w14:paraId="37EDD195">
            <w:pPr>
              <w:numPr>
                <w:ilvl w:val="0"/>
                <w:numId w:val="4"/>
              </w:numPr>
              <w:spacing w:line="288" w:lineRule="auto"/>
              <w:ind w:firstLineChars="0"/>
              <w:rPr>
                <w:rFonts w:ascii="宋体" w:hAnsi="宋体" w:cs="宋体"/>
                <w:color w:val="auto"/>
                <w:highlight w:val="none"/>
              </w:rPr>
            </w:pPr>
            <w:r>
              <w:rPr>
                <w:rFonts w:hint="eastAsia" w:ascii="宋体" w:hAnsi="宋体" w:cs="宋体"/>
                <w:color w:val="auto"/>
                <w:highlight w:val="none"/>
              </w:rPr>
              <w:t>是项目的总负责人，负责与甲方沟通驻场人员无法解决的问题，接受甲方对驻场服务人员的投诉；</w:t>
            </w:r>
          </w:p>
          <w:p w14:paraId="398E2070">
            <w:pPr>
              <w:numPr>
                <w:ilvl w:val="0"/>
                <w:numId w:val="4"/>
              </w:numPr>
              <w:spacing w:line="288" w:lineRule="auto"/>
              <w:ind w:firstLineChars="0"/>
              <w:rPr>
                <w:rFonts w:ascii="宋体" w:hAnsi="宋体" w:cs="宋体"/>
                <w:color w:val="auto"/>
                <w:highlight w:val="none"/>
              </w:rPr>
            </w:pPr>
            <w:r>
              <w:rPr>
                <w:rFonts w:hint="eastAsia" w:ascii="宋体" w:hAnsi="宋体" w:cs="宋体"/>
                <w:color w:val="auto"/>
                <w:highlight w:val="none"/>
              </w:rPr>
              <w:t>统筹安排驻场和场外服务人员的工作，部署和督促解决驻场人员无法解决的问题；</w:t>
            </w:r>
          </w:p>
          <w:p w14:paraId="1C7F4454">
            <w:pPr>
              <w:pStyle w:val="22"/>
              <w:numPr>
                <w:ilvl w:val="0"/>
                <w:numId w:val="4"/>
              </w:numPr>
              <w:rPr>
                <w:rFonts w:ascii="宋体" w:hAnsi="宋体" w:cs="宋体"/>
                <w:color w:val="auto"/>
                <w:highlight w:val="none"/>
              </w:rPr>
            </w:pPr>
            <w:r>
              <w:rPr>
                <w:rFonts w:hint="eastAsia" w:ascii="宋体" w:hAnsi="宋体" w:cs="宋体"/>
                <w:color w:val="auto"/>
                <w:highlight w:val="none"/>
              </w:rPr>
              <w:t>工作时间：定期到现场了解服务情况，并与甲方沟通并解决问题。</w:t>
            </w:r>
          </w:p>
        </w:tc>
      </w:tr>
      <w:tr w14:paraId="178210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75" w:type="dxa"/>
            <w:vAlign w:val="center"/>
          </w:tcPr>
          <w:p w14:paraId="4630613F">
            <w:pPr>
              <w:ind w:firstLine="0" w:firstLineChars="0"/>
              <w:rPr>
                <w:rFonts w:ascii="宋体" w:hAnsi="宋体" w:cs="宋体"/>
                <w:color w:val="auto"/>
                <w:highlight w:val="none"/>
              </w:rPr>
            </w:pPr>
            <w:r>
              <w:rPr>
                <w:rFonts w:hint="eastAsia" w:ascii="宋体" w:hAnsi="宋体" w:cs="宋体"/>
                <w:color w:val="auto"/>
                <w:highlight w:val="none"/>
              </w:rPr>
              <w:t>2</w:t>
            </w:r>
          </w:p>
        </w:tc>
        <w:tc>
          <w:tcPr>
            <w:tcW w:w="851" w:type="dxa"/>
            <w:vAlign w:val="center"/>
          </w:tcPr>
          <w:p w14:paraId="490F851A">
            <w:pPr>
              <w:ind w:firstLine="0" w:firstLineChars="0"/>
              <w:rPr>
                <w:rFonts w:ascii="宋体" w:hAnsi="宋体" w:cs="宋体"/>
                <w:color w:val="auto"/>
                <w:highlight w:val="none"/>
              </w:rPr>
            </w:pPr>
            <w:r>
              <w:rPr>
                <w:rFonts w:hint="eastAsia" w:ascii="宋体" w:hAnsi="宋体" w:cs="宋体"/>
                <w:color w:val="auto"/>
                <w:highlight w:val="none"/>
              </w:rPr>
              <w:t>服务台</w:t>
            </w:r>
          </w:p>
        </w:tc>
        <w:tc>
          <w:tcPr>
            <w:tcW w:w="930" w:type="dxa"/>
            <w:vAlign w:val="center"/>
          </w:tcPr>
          <w:p w14:paraId="737220C4">
            <w:pPr>
              <w:ind w:firstLine="0" w:firstLineChars="0"/>
              <w:rPr>
                <w:rFonts w:ascii="宋体" w:hAnsi="宋体" w:cs="宋体"/>
                <w:color w:val="auto"/>
                <w:highlight w:val="none"/>
              </w:rPr>
            </w:pPr>
            <w:r>
              <w:rPr>
                <w:rFonts w:hint="eastAsia" w:ascii="宋体" w:hAnsi="宋体" w:cs="宋体"/>
                <w:color w:val="auto"/>
                <w:highlight w:val="none"/>
              </w:rPr>
              <w:t>1岗位</w:t>
            </w:r>
          </w:p>
        </w:tc>
        <w:tc>
          <w:tcPr>
            <w:tcW w:w="804" w:type="dxa"/>
            <w:vAlign w:val="center"/>
          </w:tcPr>
          <w:p w14:paraId="7C5FF5BD">
            <w:pPr>
              <w:ind w:firstLine="0" w:firstLineChars="0"/>
              <w:rPr>
                <w:rFonts w:ascii="宋体" w:hAnsi="宋体" w:cs="宋体"/>
                <w:color w:val="auto"/>
                <w:highlight w:val="none"/>
              </w:rPr>
            </w:pPr>
            <w:r>
              <w:rPr>
                <w:rFonts w:hint="eastAsia" w:ascii="宋体" w:hAnsi="宋体" w:cs="宋体"/>
                <w:color w:val="auto"/>
                <w:highlight w:val="none"/>
              </w:rPr>
              <w:t>驻场</w:t>
            </w:r>
          </w:p>
        </w:tc>
        <w:tc>
          <w:tcPr>
            <w:tcW w:w="5920" w:type="dxa"/>
            <w:vAlign w:val="center"/>
          </w:tcPr>
          <w:p w14:paraId="08633B4A">
            <w:pPr>
              <w:pStyle w:val="22"/>
              <w:numPr>
                <w:ilvl w:val="0"/>
                <w:numId w:val="4"/>
              </w:numPr>
              <w:rPr>
                <w:rFonts w:ascii="宋体" w:hAnsi="宋体" w:cs="宋体"/>
                <w:color w:val="auto"/>
                <w:highlight w:val="none"/>
              </w:rPr>
            </w:pPr>
            <w:r>
              <w:rPr>
                <w:rFonts w:hint="eastAsia" w:ascii="宋体" w:hAnsi="宋体" w:cs="宋体"/>
                <w:color w:val="auto"/>
                <w:highlight w:val="none"/>
              </w:rPr>
              <w:t>具有大专以上学历，在同类型项目岗位管理工作一年以上经验。</w:t>
            </w:r>
          </w:p>
          <w:p w14:paraId="61E64173">
            <w:pPr>
              <w:pStyle w:val="22"/>
              <w:numPr>
                <w:ilvl w:val="0"/>
                <w:numId w:val="4"/>
              </w:numPr>
              <w:rPr>
                <w:rFonts w:ascii="宋体" w:hAnsi="宋体" w:cs="宋体"/>
                <w:color w:val="auto"/>
                <w:highlight w:val="none"/>
              </w:rPr>
            </w:pPr>
            <w:r>
              <w:rPr>
                <w:rFonts w:hint="eastAsia" w:ascii="宋体" w:hAnsi="宋体" w:cs="宋体"/>
                <w:color w:val="auto"/>
                <w:highlight w:val="none"/>
              </w:rPr>
              <w:t>负责用户日常请求电话接听、派单、跟踪、回访、服务处理文档归类处理等；</w:t>
            </w:r>
          </w:p>
          <w:p w14:paraId="5969C220">
            <w:pPr>
              <w:pStyle w:val="22"/>
              <w:numPr>
                <w:ilvl w:val="0"/>
                <w:numId w:val="0"/>
              </w:numPr>
              <w:ind w:left="0" w:leftChars="0" w:firstLine="0" w:firstLineChars="0"/>
              <w:rPr>
                <w:rFonts w:ascii="宋体" w:hAnsi="宋体" w:cs="宋体"/>
                <w:color w:val="auto"/>
                <w:highlight w:val="none"/>
              </w:rPr>
            </w:pPr>
            <w:r>
              <w:rPr>
                <w:rFonts w:hint="default" w:ascii="Wingdings" w:hAnsi="Wingdings" w:eastAsia="宋体" w:cs="宋体"/>
                <w:color w:val="auto"/>
                <w:sz w:val="21"/>
                <w:szCs w:val="21"/>
                <w:lang w:val="en-US" w:eastAsia="zh-CN" w:bidi="ar-SA"/>
              </w:rPr>
              <w:t></w:t>
            </w:r>
            <w:r>
              <w:rPr>
                <w:rFonts w:hint="eastAsia" w:ascii="宋体" w:hAnsi="宋体" w:cs="宋体"/>
                <w:color w:val="auto"/>
                <w:highlight w:val="none"/>
              </w:rPr>
              <w:t>负责协助信息部门日常综合软件整体技术集成维护支持，即作为IT设备维保和专用软件维保的总协调和相关服务工作；</w:t>
            </w:r>
          </w:p>
          <w:p w14:paraId="49492E4D">
            <w:pPr>
              <w:pStyle w:val="22"/>
              <w:numPr>
                <w:ilvl w:val="0"/>
                <w:numId w:val="0"/>
              </w:numPr>
              <w:ind w:left="0" w:leftChars="0" w:firstLine="0" w:firstLineChars="0"/>
              <w:rPr>
                <w:rFonts w:ascii="宋体" w:hAnsi="宋体" w:cs="宋体"/>
                <w:color w:val="auto"/>
                <w:highlight w:val="none"/>
              </w:rPr>
            </w:pPr>
            <w:r>
              <w:rPr>
                <w:rFonts w:hint="default" w:ascii="Wingdings" w:hAnsi="Wingdings" w:eastAsia="宋体" w:cs="宋体"/>
                <w:color w:val="auto"/>
                <w:sz w:val="21"/>
                <w:szCs w:val="21"/>
                <w:lang w:val="en-US" w:eastAsia="zh-CN" w:bidi="ar-SA"/>
              </w:rPr>
              <w:t></w:t>
            </w:r>
            <w:r>
              <w:rPr>
                <w:rFonts w:hint="eastAsia" w:ascii="宋体" w:hAnsi="宋体" w:cs="宋体"/>
                <w:color w:val="auto"/>
                <w:highlight w:val="none"/>
              </w:rPr>
              <w:t>工作时间：工作日8:30至17:30。</w:t>
            </w:r>
          </w:p>
        </w:tc>
      </w:tr>
      <w:tr w14:paraId="6EBC78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75" w:type="dxa"/>
            <w:vAlign w:val="center"/>
          </w:tcPr>
          <w:p w14:paraId="73B802A8">
            <w:pPr>
              <w:ind w:firstLine="0" w:firstLineChars="0"/>
              <w:rPr>
                <w:rFonts w:ascii="宋体" w:hAnsi="宋体" w:cs="宋体"/>
                <w:color w:val="auto"/>
                <w:highlight w:val="none"/>
              </w:rPr>
            </w:pPr>
            <w:r>
              <w:rPr>
                <w:rFonts w:hint="eastAsia" w:ascii="宋体" w:hAnsi="宋体" w:cs="宋体"/>
                <w:color w:val="auto"/>
                <w:highlight w:val="none"/>
              </w:rPr>
              <w:t>3</w:t>
            </w:r>
          </w:p>
        </w:tc>
        <w:tc>
          <w:tcPr>
            <w:tcW w:w="851" w:type="dxa"/>
            <w:vAlign w:val="center"/>
          </w:tcPr>
          <w:p w14:paraId="754AD912">
            <w:pPr>
              <w:ind w:firstLine="0" w:firstLineChars="0"/>
              <w:rPr>
                <w:rFonts w:ascii="宋体" w:hAnsi="宋体" w:cs="宋体"/>
                <w:color w:val="auto"/>
                <w:highlight w:val="none"/>
              </w:rPr>
            </w:pPr>
            <w:r>
              <w:rPr>
                <w:rFonts w:hint="eastAsia" w:ascii="宋体" w:hAnsi="宋体" w:cs="宋体"/>
                <w:color w:val="auto"/>
                <w:highlight w:val="none"/>
              </w:rPr>
              <w:t>现场项目主管</w:t>
            </w:r>
          </w:p>
        </w:tc>
        <w:tc>
          <w:tcPr>
            <w:tcW w:w="930" w:type="dxa"/>
            <w:vAlign w:val="center"/>
          </w:tcPr>
          <w:p w14:paraId="5376730F">
            <w:pPr>
              <w:ind w:firstLine="0" w:firstLineChars="0"/>
              <w:rPr>
                <w:rFonts w:ascii="宋体" w:hAnsi="宋体" w:cs="宋体"/>
                <w:color w:val="auto"/>
                <w:highlight w:val="none"/>
              </w:rPr>
            </w:pPr>
            <w:r>
              <w:rPr>
                <w:rFonts w:hint="eastAsia" w:ascii="宋体" w:hAnsi="宋体" w:cs="宋体"/>
                <w:color w:val="auto"/>
                <w:highlight w:val="none"/>
              </w:rPr>
              <w:t>1岗位</w:t>
            </w:r>
          </w:p>
        </w:tc>
        <w:tc>
          <w:tcPr>
            <w:tcW w:w="804" w:type="dxa"/>
            <w:vAlign w:val="center"/>
          </w:tcPr>
          <w:p w14:paraId="0228F978">
            <w:pPr>
              <w:ind w:firstLine="0" w:firstLineChars="0"/>
              <w:rPr>
                <w:rFonts w:ascii="宋体" w:hAnsi="宋体" w:cs="宋体"/>
                <w:color w:val="auto"/>
                <w:highlight w:val="none"/>
              </w:rPr>
            </w:pPr>
            <w:r>
              <w:rPr>
                <w:rFonts w:hint="eastAsia" w:ascii="宋体" w:hAnsi="宋体" w:cs="宋体"/>
                <w:color w:val="auto"/>
                <w:highlight w:val="none"/>
              </w:rPr>
              <w:t>驻场</w:t>
            </w:r>
          </w:p>
        </w:tc>
        <w:tc>
          <w:tcPr>
            <w:tcW w:w="5920" w:type="dxa"/>
            <w:vAlign w:val="center"/>
          </w:tcPr>
          <w:p w14:paraId="29C2F973">
            <w:pPr>
              <w:pStyle w:val="22"/>
              <w:numPr>
                <w:ilvl w:val="0"/>
                <w:numId w:val="0"/>
              </w:numPr>
              <w:ind w:left="0" w:leftChars="0" w:firstLine="0" w:firstLineChars="0"/>
              <w:rPr>
                <w:rFonts w:ascii="宋体" w:hAnsi="宋体" w:cs="宋体"/>
                <w:color w:val="auto"/>
                <w:highlight w:val="none"/>
              </w:rPr>
            </w:pPr>
            <w:r>
              <w:rPr>
                <w:rFonts w:hint="default" w:ascii="Wingdings" w:hAnsi="Wingdings" w:eastAsia="宋体" w:cs="宋体"/>
                <w:color w:val="auto"/>
                <w:sz w:val="21"/>
                <w:szCs w:val="21"/>
                <w:lang w:val="en-US" w:eastAsia="zh-CN" w:bidi="ar-SA"/>
              </w:rPr>
              <w:t></w:t>
            </w:r>
            <w:r>
              <w:rPr>
                <w:rFonts w:hint="eastAsia" w:ascii="宋体" w:hAnsi="宋体" w:cs="宋体"/>
                <w:color w:val="auto"/>
                <w:highlight w:val="none"/>
              </w:rPr>
              <w:t>具有计算机专业大专以上学历有同类项目服务经验或工作有3年以上同类项目服务经验；</w:t>
            </w:r>
          </w:p>
          <w:p w14:paraId="61ACD071">
            <w:pPr>
              <w:pStyle w:val="22"/>
              <w:numPr>
                <w:ilvl w:val="0"/>
                <w:numId w:val="0"/>
              </w:numPr>
              <w:ind w:left="0" w:leftChars="0" w:firstLine="0" w:firstLineChars="0"/>
              <w:rPr>
                <w:rFonts w:ascii="宋体" w:hAnsi="宋体" w:cs="宋体"/>
                <w:color w:val="auto"/>
                <w:highlight w:val="none"/>
              </w:rPr>
            </w:pPr>
            <w:r>
              <w:rPr>
                <w:rFonts w:hint="default" w:ascii="Wingdings" w:hAnsi="Wingdings" w:eastAsia="宋体" w:cs="宋体"/>
                <w:color w:val="auto"/>
                <w:sz w:val="21"/>
                <w:szCs w:val="21"/>
                <w:lang w:val="en-US" w:eastAsia="zh-CN" w:bidi="ar-SA"/>
              </w:rPr>
              <w:t></w:t>
            </w:r>
            <w:r>
              <w:rPr>
                <w:rFonts w:hint="eastAsia" w:ascii="宋体" w:hAnsi="宋体" w:cs="宋体"/>
                <w:color w:val="auto"/>
                <w:highlight w:val="none"/>
              </w:rPr>
              <w:t>具备专业IT维护水平和项目管理资格认证。</w:t>
            </w:r>
          </w:p>
          <w:p w14:paraId="3B24443E">
            <w:pPr>
              <w:pStyle w:val="22"/>
              <w:numPr>
                <w:ilvl w:val="0"/>
                <w:numId w:val="0"/>
              </w:numPr>
              <w:ind w:left="0" w:leftChars="0" w:firstLine="0" w:firstLineChars="0"/>
              <w:rPr>
                <w:rFonts w:ascii="宋体" w:hAnsi="宋体" w:cs="宋体"/>
                <w:color w:val="auto"/>
                <w:highlight w:val="none"/>
              </w:rPr>
            </w:pPr>
            <w:r>
              <w:rPr>
                <w:rFonts w:hint="default" w:ascii="Wingdings" w:hAnsi="Wingdings" w:eastAsia="宋体" w:cs="宋体"/>
                <w:color w:val="auto"/>
                <w:sz w:val="21"/>
                <w:szCs w:val="21"/>
                <w:lang w:val="en-US" w:eastAsia="zh-CN" w:bidi="ar-SA"/>
              </w:rPr>
              <w:t></w:t>
            </w:r>
            <w:r>
              <w:rPr>
                <w:rFonts w:hint="eastAsia" w:ascii="宋体" w:hAnsi="宋体" w:cs="宋体"/>
                <w:color w:val="auto"/>
                <w:highlight w:val="none"/>
              </w:rPr>
              <w:t>具有日常技术维护管理能力和配合项目方日常安排，分配人员完成项目方IT设备需要的维护具体任务；</w:t>
            </w:r>
          </w:p>
          <w:p w14:paraId="2ABE5565">
            <w:pPr>
              <w:pStyle w:val="22"/>
              <w:numPr>
                <w:ilvl w:val="0"/>
                <w:numId w:val="0"/>
              </w:numPr>
              <w:ind w:left="0" w:leftChars="0" w:firstLine="0" w:firstLineChars="0"/>
              <w:rPr>
                <w:rFonts w:ascii="宋体" w:hAnsi="宋体" w:cs="宋体"/>
                <w:color w:val="auto"/>
                <w:highlight w:val="none"/>
              </w:rPr>
            </w:pPr>
            <w:r>
              <w:rPr>
                <w:rFonts w:hint="default" w:ascii="Wingdings" w:hAnsi="Wingdings" w:eastAsia="宋体" w:cs="宋体"/>
                <w:color w:val="auto"/>
                <w:sz w:val="21"/>
                <w:szCs w:val="21"/>
                <w:lang w:val="en-US" w:eastAsia="zh-CN" w:bidi="ar-SA"/>
              </w:rPr>
              <w:t></w:t>
            </w:r>
            <w:r>
              <w:rPr>
                <w:rFonts w:hint="eastAsia" w:ascii="宋体" w:hAnsi="宋体" w:cs="宋体"/>
                <w:color w:val="auto"/>
                <w:highlight w:val="none"/>
              </w:rPr>
              <w:t>具备较强的信息安全技术和通过认证体系，熟悉信息安全标准和法律法规。</w:t>
            </w:r>
          </w:p>
          <w:p w14:paraId="62DEBEA8">
            <w:pPr>
              <w:pStyle w:val="22"/>
              <w:numPr>
                <w:ilvl w:val="0"/>
                <w:numId w:val="0"/>
              </w:numPr>
              <w:ind w:left="0" w:leftChars="0" w:firstLine="0" w:firstLineChars="0"/>
              <w:rPr>
                <w:rFonts w:ascii="宋体" w:hAnsi="宋体" w:cs="宋体"/>
                <w:color w:val="auto"/>
                <w:highlight w:val="none"/>
              </w:rPr>
            </w:pPr>
            <w:r>
              <w:rPr>
                <w:rFonts w:hint="default" w:ascii="Wingdings" w:hAnsi="Wingdings" w:eastAsia="宋体" w:cs="宋体"/>
                <w:color w:val="auto"/>
                <w:sz w:val="21"/>
                <w:szCs w:val="21"/>
                <w:lang w:val="en-US" w:eastAsia="zh-CN" w:bidi="ar-SA"/>
              </w:rPr>
              <w:t></w:t>
            </w:r>
            <w:r>
              <w:rPr>
                <w:rFonts w:hint="eastAsia" w:ascii="宋体" w:hAnsi="宋体" w:cs="宋体"/>
                <w:color w:val="auto"/>
                <w:highlight w:val="none"/>
              </w:rPr>
              <w:t xml:space="preserve">建立有效管理服务系统机制，协助整合IT资源，根据项目方的系统实际情况进行系统优化和升级，同时为项目方提供优质服务； </w:t>
            </w:r>
          </w:p>
          <w:p w14:paraId="1645315D">
            <w:pPr>
              <w:pStyle w:val="22"/>
              <w:numPr>
                <w:ilvl w:val="0"/>
                <w:numId w:val="0"/>
              </w:numPr>
              <w:ind w:left="0" w:leftChars="0" w:firstLine="0" w:firstLineChars="0"/>
              <w:rPr>
                <w:rFonts w:ascii="宋体" w:hAnsi="宋体" w:cs="宋体"/>
                <w:color w:val="auto"/>
                <w:highlight w:val="none"/>
              </w:rPr>
            </w:pPr>
            <w:r>
              <w:rPr>
                <w:rFonts w:hint="default" w:ascii="Wingdings" w:hAnsi="Wingdings" w:eastAsia="宋体" w:cs="宋体"/>
                <w:color w:val="auto"/>
                <w:sz w:val="21"/>
                <w:szCs w:val="21"/>
                <w:lang w:val="en-US" w:eastAsia="zh-CN" w:bidi="ar-SA"/>
              </w:rPr>
              <w:t></w:t>
            </w:r>
            <w:r>
              <w:rPr>
                <w:rFonts w:hint="eastAsia" w:ascii="宋体" w:hAnsi="宋体" w:cs="宋体"/>
                <w:color w:val="auto"/>
                <w:highlight w:val="none"/>
              </w:rPr>
              <w:t>协调处理应急故障解决，实时向项目方报告情况，并建立信息日志档案；</w:t>
            </w:r>
          </w:p>
          <w:p w14:paraId="778379B3">
            <w:pPr>
              <w:pStyle w:val="22"/>
              <w:numPr>
                <w:ilvl w:val="0"/>
                <w:numId w:val="0"/>
              </w:numPr>
              <w:ind w:left="0" w:leftChars="0" w:firstLine="0" w:firstLineChars="0"/>
              <w:rPr>
                <w:rFonts w:ascii="宋体" w:hAnsi="宋体" w:cs="宋体"/>
                <w:color w:val="auto"/>
                <w:highlight w:val="none"/>
              </w:rPr>
            </w:pPr>
            <w:r>
              <w:rPr>
                <w:rFonts w:hint="default" w:ascii="Wingdings" w:hAnsi="Wingdings" w:eastAsia="宋体" w:cs="宋体"/>
                <w:color w:val="auto"/>
                <w:sz w:val="21"/>
                <w:szCs w:val="21"/>
                <w:lang w:val="en-US" w:eastAsia="zh-CN" w:bidi="ar-SA"/>
              </w:rPr>
              <w:t></w:t>
            </w:r>
            <w:r>
              <w:rPr>
                <w:rFonts w:hint="eastAsia" w:ascii="宋体" w:hAnsi="宋体" w:cs="宋体"/>
                <w:color w:val="auto"/>
                <w:highlight w:val="none"/>
              </w:rPr>
              <w:t>负责协助项目方处理设备维护的日常事务，登记维护人员工作安排及维护情况等情况；</w:t>
            </w:r>
          </w:p>
          <w:p w14:paraId="09E0BBB8">
            <w:pPr>
              <w:pStyle w:val="22"/>
              <w:numPr>
                <w:ilvl w:val="0"/>
                <w:numId w:val="0"/>
              </w:numPr>
              <w:ind w:left="0" w:leftChars="0" w:firstLine="0" w:firstLineChars="0"/>
              <w:rPr>
                <w:rFonts w:ascii="宋体" w:hAnsi="宋体" w:cs="宋体"/>
                <w:color w:val="auto"/>
                <w:highlight w:val="none"/>
              </w:rPr>
            </w:pPr>
            <w:r>
              <w:rPr>
                <w:rFonts w:hint="default" w:ascii="Wingdings" w:hAnsi="Wingdings" w:eastAsia="宋体" w:cs="宋体"/>
                <w:color w:val="auto"/>
                <w:sz w:val="21"/>
                <w:szCs w:val="21"/>
                <w:lang w:val="en-US" w:eastAsia="zh-CN" w:bidi="ar-SA"/>
              </w:rPr>
              <w:t></w:t>
            </w:r>
            <w:r>
              <w:rPr>
                <w:rFonts w:hint="eastAsia" w:ascii="宋体" w:hAnsi="宋体" w:cs="宋体"/>
                <w:color w:val="auto"/>
                <w:highlight w:val="none"/>
              </w:rPr>
              <w:t>处理工作安排，记录工作情况，并督办处理维护事宜。完善项目方硬件与软件系统有效运作，确保项目方网络系统畅通无阻，通过系统分析统计出某时段项目方服务情况，问题出现与解决的情况，总结综合统计报表，为项目方建立服务支持方向提供指引等；</w:t>
            </w:r>
          </w:p>
          <w:p w14:paraId="0D8E46B5">
            <w:pPr>
              <w:pStyle w:val="22"/>
              <w:numPr>
                <w:ilvl w:val="0"/>
                <w:numId w:val="0"/>
              </w:numPr>
              <w:ind w:left="0" w:leftChars="0" w:firstLine="0" w:firstLineChars="0"/>
              <w:rPr>
                <w:rFonts w:ascii="宋体" w:hAnsi="宋体" w:cs="宋体"/>
                <w:color w:val="auto"/>
                <w:highlight w:val="none"/>
              </w:rPr>
            </w:pPr>
            <w:r>
              <w:rPr>
                <w:rFonts w:hint="default" w:ascii="Wingdings" w:hAnsi="Wingdings" w:eastAsia="宋体" w:cs="宋体"/>
                <w:color w:val="auto"/>
                <w:sz w:val="21"/>
                <w:szCs w:val="21"/>
                <w:lang w:val="en-US" w:eastAsia="zh-CN" w:bidi="ar-SA"/>
              </w:rPr>
              <w:t></w:t>
            </w:r>
            <w:r>
              <w:rPr>
                <w:rFonts w:hint="eastAsia" w:ascii="宋体" w:hAnsi="宋体" w:cs="宋体"/>
                <w:color w:val="auto"/>
                <w:highlight w:val="none"/>
              </w:rPr>
              <w:t>负责培训和指导项目方的IT日常使用工作，提升整体IT专业水平。</w:t>
            </w:r>
          </w:p>
          <w:p w14:paraId="263B3E76">
            <w:pPr>
              <w:pStyle w:val="22"/>
              <w:numPr>
                <w:ilvl w:val="0"/>
                <w:numId w:val="0"/>
              </w:numPr>
              <w:ind w:left="0" w:leftChars="0" w:firstLine="0" w:firstLineChars="0"/>
              <w:rPr>
                <w:rFonts w:ascii="宋体" w:hAnsi="宋体" w:cs="宋体"/>
                <w:color w:val="auto"/>
                <w:highlight w:val="none"/>
              </w:rPr>
            </w:pPr>
            <w:r>
              <w:rPr>
                <w:rFonts w:hint="default" w:ascii="Wingdings" w:hAnsi="Wingdings" w:eastAsia="宋体" w:cs="宋体"/>
                <w:color w:val="auto"/>
                <w:sz w:val="21"/>
                <w:szCs w:val="21"/>
                <w:lang w:val="en-US" w:eastAsia="zh-CN" w:bidi="ar-SA"/>
              </w:rPr>
              <w:t></w:t>
            </w:r>
            <w:r>
              <w:rPr>
                <w:rFonts w:hint="eastAsia" w:ascii="宋体" w:hAnsi="宋体" w:cs="宋体"/>
                <w:color w:val="auto"/>
                <w:highlight w:val="none"/>
              </w:rPr>
              <w:t>协助信息固定资产管理，包含信息设备的资产上线定位、粘贴固定资产标签。</w:t>
            </w:r>
          </w:p>
          <w:p w14:paraId="49D7EAE4">
            <w:pPr>
              <w:pStyle w:val="22"/>
              <w:numPr>
                <w:ilvl w:val="0"/>
                <w:numId w:val="0"/>
              </w:numPr>
              <w:ind w:left="0" w:leftChars="0" w:firstLine="0" w:firstLineChars="0"/>
              <w:rPr>
                <w:rFonts w:ascii="宋体" w:hAnsi="宋体" w:cs="宋体"/>
                <w:color w:val="auto"/>
                <w:highlight w:val="none"/>
              </w:rPr>
            </w:pPr>
            <w:r>
              <w:rPr>
                <w:rFonts w:hint="default" w:ascii="Wingdings" w:hAnsi="Wingdings" w:eastAsia="宋体" w:cs="宋体"/>
                <w:color w:val="auto"/>
                <w:sz w:val="21"/>
                <w:szCs w:val="21"/>
                <w:lang w:val="en-US" w:eastAsia="zh-CN" w:bidi="ar-SA"/>
              </w:rPr>
              <w:t></w:t>
            </w:r>
            <w:r>
              <w:rPr>
                <w:rFonts w:hint="eastAsia" w:ascii="宋体" w:hAnsi="宋体" w:cs="宋体"/>
                <w:color w:val="auto"/>
                <w:highlight w:val="none"/>
              </w:rPr>
              <w:t>协助定期对信息固定资产进行盘点。</w:t>
            </w:r>
          </w:p>
          <w:p w14:paraId="7B5B053D">
            <w:pPr>
              <w:pStyle w:val="22"/>
              <w:numPr>
                <w:ilvl w:val="0"/>
                <w:numId w:val="0"/>
              </w:numPr>
              <w:ind w:left="0" w:leftChars="0" w:firstLine="0" w:firstLineChars="0"/>
              <w:rPr>
                <w:rFonts w:ascii="宋体" w:hAnsi="宋体" w:cs="宋体"/>
                <w:color w:val="auto"/>
                <w:highlight w:val="none"/>
              </w:rPr>
            </w:pPr>
            <w:r>
              <w:rPr>
                <w:rFonts w:hint="default" w:ascii="Wingdings" w:hAnsi="Wingdings" w:eastAsia="宋体" w:cs="宋体"/>
                <w:color w:val="auto"/>
                <w:sz w:val="21"/>
                <w:szCs w:val="21"/>
                <w:lang w:val="en-US" w:eastAsia="zh-CN" w:bidi="ar-SA"/>
              </w:rPr>
              <w:t></w:t>
            </w:r>
            <w:r>
              <w:rPr>
                <w:rFonts w:hint="eastAsia" w:ascii="宋体" w:hAnsi="宋体" w:cs="宋体"/>
                <w:color w:val="auto"/>
                <w:highlight w:val="none"/>
              </w:rPr>
              <w:t>协助信息固定资产报废管理工作。</w:t>
            </w:r>
          </w:p>
          <w:p w14:paraId="6DE5023F">
            <w:pPr>
              <w:pStyle w:val="22"/>
              <w:numPr>
                <w:ilvl w:val="0"/>
                <w:numId w:val="0"/>
              </w:numPr>
              <w:ind w:left="0" w:leftChars="0" w:firstLine="0" w:firstLineChars="0"/>
              <w:rPr>
                <w:rFonts w:ascii="宋体" w:hAnsi="宋体" w:cs="宋体"/>
                <w:color w:val="auto"/>
                <w:highlight w:val="none"/>
              </w:rPr>
            </w:pPr>
            <w:r>
              <w:rPr>
                <w:rFonts w:hint="default" w:ascii="Wingdings" w:hAnsi="Wingdings" w:eastAsia="宋体" w:cs="宋体"/>
                <w:color w:val="auto"/>
                <w:sz w:val="21"/>
                <w:szCs w:val="21"/>
                <w:lang w:val="en-US" w:eastAsia="zh-CN" w:bidi="ar-SA"/>
              </w:rPr>
              <w:t></w:t>
            </w:r>
            <w:r>
              <w:rPr>
                <w:rFonts w:hint="eastAsia" w:ascii="宋体" w:hAnsi="宋体" w:cs="宋体"/>
                <w:color w:val="auto"/>
                <w:highlight w:val="none"/>
              </w:rPr>
              <w:t>协助信息固定资产设备的安装工作。</w:t>
            </w:r>
          </w:p>
          <w:p w14:paraId="05942C4B">
            <w:pPr>
              <w:pStyle w:val="22"/>
              <w:numPr>
                <w:ilvl w:val="0"/>
                <w:numId w:val="0"/>
              </w:numPr>
              <w:ind w:left="0" w:leftChars="0" w:firstLine="0" w:firstLineChars="0"/>
              <w:rPr>
                <w:rFonts w:ascii="宋体" w:hAnsi="宋体" w:cs="宋体"/>
                <w:color w:val="auto"/>
                <w:highlight w:val="none"/>
              </w:rPr>
            </w:pPr>
            <w:r>
              <w:rPr>
                <w:rFonts w:hint="default" w:ascii="Wingdings" w:hAnsi="Wingdings" w:eastAsia="宋体" w:cs="宋体"/>
                <w:color w:val="auto"/>
                <w:sz w:val="21"/>
                <w:szCs w:val="21"/>
                <w:lang w:val="en-US" w:eastAsia="zh-CN" w:bidi="ar-SA"/>
              </w:rPr>
              <w:t></w:t>
            </w:r>
            <w:r>
              <w:rPr>
                <w:rFonts w:hint="eastAsia" w:ascii="宋体" w:hAnsi="宋体" w:cs="宋体"/>
                <w:color w:val="auto"/>
                <w:highlight w:val="none"/>
              </w:rPr>
              <w:t>负责运维交班汇报的工作。</w:t>
            </w:r>
          </w:p>
          <w:p w14:paraId="2073E109">
            <w:pPr>
              <w:pStyle w:val="22"/>
              <w:numPr>
                <w:ilvl w:val="0"/>
                <w:numId w:val="0"/>
              </w:numPr>
              <w:ind w:left="0" w:leftChars="0" w:firstLine="0" w:firstLineChars="0"/>
              <w:rPr>
                <w:rFonts w:ascii="宋体" w:hAnsi="宋体" w:cs="宋体"/>
                <w:color w:val="auto"/>
                <w:highlight w:val="none"/>
              </w:rPr>
            </w:pPr>
            <w:r>
              <w:rPr>
                <w:rFonts w:hint="default" w:ascii="Wingdings" w:hAnsi="Wingdings" w:eastAsia="宋体" w:cs="宋体"/>
                <w:color w:val="auto"/>
                <w:sz w:val="21"/>
                <w:szCs w:val="21"/>
                <w:lang w:val="en-US" w:eastAsia="zh-CN" w:bidi="ar-SA"/>
              </w:rPr>
              <w:t></w:t>
            </w:r>
            <w:r>
              <w:rPr>
                <w:rFonts w:hint="eastAsia" w:ascii="宋体" w:hAnsi="宋体" w:cs="宋体"/>
                <w:color w:val="auto"/>
                <w:highlight w:val="none"/>
              </w:rPr>
              <w:t>服从信息部门安排的其他任务</w:t>
            </w:r>
          </w:p>
          <w:p w14:paraId="188CDB0E">
            <w:pPr>
              <w:pStyle w:val="22"/>
              <w:numPr>
                <w:ilvl w:val="0"/>
                <w:numId w:val="0"/>
              </w:numPr>
              <w:ind w:left="0" w:leftChars="0" w:firstLine="0" w:firstLineChars="0"/>
              <w:rPr>
                <w:rFonts w:ascii="宋体" w:hAnsi="宋体" w:cs="宋体"/>
                <w:color w:val="auto"/>
                <w:highlight w:val="none"/>
              </w:rPr>
            </w:pPr>
            <w:r>
              <w:rPr>
                <w:rFonts w:hint="default" w:ascii="Wingdings" w:hAnsi="Wingdings" w:eastAsia="宋体" w:cs="宋体"/>
                <w:color w:val="auto"/>
                <w:sz w:val="21"/>
                <w:szCs w:val="21"/>
                <w:lang w:val="en-US" w:eastAsia="zh-CN" w:bidi="ar-SA"/>
              </w:rPr>
              <w:t></w:t>
            </w:r>
            <w:r>
              <w:rPr>
                <w:rFonts w:hint="eastAsia" w:ascii="宋体" w:hAnsi="宋体" w:cs="宋体"/>
                <w:color w:val="auto"/>
                <w:highlight w:val="none"/>
              </w:rPr>
              <w:t>工作时间：满足5*8小时工作时长，具体服从信息部门安排。</w:t>
            </w:r>
          </w:p>
        </w:tc>
      </w:tr>
      <w:tr w14:paraId="31391A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75" w:type="dxa"/>
            <w:vAlign w:val="center"/>
          </w:tcPr>
          <w:p w14:paraId="4F5B8395">
            <w:pPr>
              <w:ind w:firstLine="0" w:firstLineChars="0"/>
              <w:rPr>
                <w:rFonts w:ascii="宋体" w:hAnsi="宋体" w:cs="宋体"/>
                <w:color w:val="auto"/>
                <w:highlight w:val="none"/>
              </w:rPr>
            </w:pPr>
            <w:r>
              <w:rPr>
                <w:rFonts w:hint="eastAsia" w:ascii="宋体" w:hAnsi="宋体" w:cs="宋体"/>
                <w:color w:val="auto"/>
                <w:highlight w:val="none"/>
              </w:rPr>
              <w:t>4</w:t>
            </w:r>
          </w:p>
        </w:tc>
        <w:tc>
          <w:tcPr>
            <w:tcW w:w="851" w:type="dxa"/>
            <w:vAlign w:val="center"/>
          </w:tcPr>
          <w:p w14:paraId="04D3C32C">
            <w:pPr>
              <w:ind w:firstLine="0" w:firstLineChars="0"/>
              <w:rPr>
                <w:rFonts w:ascii="宋体" w:hAnsi="宋体" w:cs="宋体"/>
                <w:color w:val="auto"/>
                <w:highlight w:val="none"/>
              </w:rPr>
            </w:pPr>
            <w:r>
              <w:rPr>
                <w:rFonts w:hint="eastAsia" w:ascii="宋体" w:hAnsi="宋体" w:cs="宋体"/>
                <w:color w:val="auto"/>
                <w:highlight w:val="none"/>
              </w:rPr>
              <w:t>技术工程师</w:t>
            </w:r>
          </w:p>
        </w:tc>
        <w:tc>
          <w:tcPr>
            <w:tcW w:w="930" w:type="dxa"/>
            <w:vAlign w:val="center"/>
          </w:tcPr>
          <w:p w14:paraId="4AF332DE">
            <w:pPr>
              <w:ind w:firstLine="0" w:firstLineChars="0"/>
              <w:rPr>
                <w:rFonts w:ascii="宋体" w:hAnsi="宋体" w:cs="宋体"/>
                <w:color w:val="auto"/>
                <w:highlight w:val="none"/>
              </w:rPr>
            </w:pPr>
            <w:r>
              <w:rPr>
                <w:rFonts w:hint="eastAsia" w:ascii="宋体" w:hAnsi="宋体" w:cs="宋体"/>
                <w:color w:val="auto"/>
                <w:highlight w:val="none"/>
              </w:rPr>
              <w:t>7岗位</w:t>
            </w:r>
          </w:p>
        </w:tc>
        <w:tc>
          <w:tcPr>
            <w:tcW w:w="804" w:type="dxa"/>
            <w:vAlign w:val="center"/>
          </w:tcPr>
          <w:p w14:paraId="6EF35E37">
            <w:pPr>
              <w:ind w:firstLine="0" w:firstLineChars="0"/>
              <w:rPr>
                <w:rFonts w:ascii="宋体" w:hAnsi="宋体" w:cs="宋体"/>
                <w:color w:val="auto"/>
                <w:highlight w:val="none"/>
              </w:rPr>
            </w:pPr>
            <w:r>
              <w:rPr>
                <w:rFonts w:hint="eastAsia" w:ascii="宋体" w:hAnsi="宋体" w:cs="宋体"/>
                <w:color w:val="auto"/>
                <w:highlight w:val="none"/>
              </w:rPr>
              <w:t>驻场</w:t>
            </w:r>
          </w:p>
        </w:tc>
        <w:tc>
          <w:tcPr>
            <w:tcW w:w="5920" w:type="dxa"/>
            <w:vAlign w:val="center"/>
          </w:tcPr>
          <w:p w14:paraId="09724F95">
            <w:pPr>
              <w:pStyle w:val="22"/>
              <w:numPr>
                <w:ilvl w:val="0"/>
                <w:numId w:val="0"/>
              </w:numPr>
              <w:ind w:left="4" w:leftChars="2" w:firstLine="0" w:firstLineChars="0"/>
              <w:rPr>
                <w:rFonts w:ascii="宋体" w:hAnsi="宋体" w:cs="宋体"/>
                <w:color w:val="auto"/>
                <w:highlight w:val="none"/>
              </w:rPr>
            </w:pPr>
            <w:r>
              <w:rPr>
                <w:rFonts w:hint="default" w:ascii="Wingdings" w:hAnsi="Wingdings" w:eastAsia="宋体" w:cs="宋体"/>
                <w:color w:val="auto"/>
                <w:sz w:val="21"/>
                <w:szCs w:val="21"/>
                <w:lang w:val="en-US" w:eastAsia="zh-CN" w:bidi="ar-SA"/>
              </w:rPr>
              <w:t></w:t>
            </w:r>
            <w:r>
              <w:rPr>
                <w:rFonts w:hint="eastAsia" w:ascii="宋体" w:hAnsi="宋体" w:cs="宋体"/>
                <w:color w:val="auto"/>
                <w:highlight w:val="none"/>
              </w:rPr>
              <w:t>负责项目方IT设备硬件和软件维护服务工作，协调项目方的信息化建设，保证IT设备正常运作；</w:t>
            </w:r>
          </w:p>
          <w:p w14:paraId="0163B451">
            <w:pPr>
              <w:pStyle w:val="22"/>
              <w:numPr>
                <w:ilvl w:val="0"/>
                <w:numId w:val="0"/>
              </w:numPr>
              <w:ind w:left="4" w:leftChars="2" w:firstLine="0" w:firstLineChars="0"/>
              <w:rPr>
                <w:rFonts w:ascii="宋体" w:hAnsi="宋体" w:cs="宋体"/>
                <w:color w:val="auto"/>
                <w:highlight w:val="none"/>
              </w:rPr>
            </w:pPr>
            <w:r>
              <w:rPr>
                <w:rFonts w:hint="default" w:ascii="Wingdings" w:hAnsi="Wingdings" w:eastAsia="宋体" w:cs="宋体"/>
                <w:color w:val="auto"/>
                <w:sz w:val="21"/>
                <w:szCs w:val="21"/>
                <w:lang w:val="en-US" w:eastAsia="zh-CN" w:bidi="ar-SA"/>
              </w:rPr>
              <w:t></w:t>
            </w:r>
            <w:r>
              <w:rPr>
                <w:rFonts w:hint="eastAsia" w:ascii="宋体" w:hAnsi="宋体" w:cs="宋体"/>
                <w:color w:val="auto"/>
                <w:highlight w:val="none"/>
              </w:rPr>
              <w:t>保证桌面终端硬件及应用如：电脑、打印机以及其工作操作系统、办公应用软件、杀毒软件等正常使用，主动向项目方汇报运作情况；</w:t>
            </w:r>
          </w:p>
          <w:p w14:paraId="690928D7">
            <w:pPr>
              <w:pStyle w:val="22"/>
              <w:numPr>
                <w:ilvl w:val="0"/>
                <w:numId w:val="0"/>
              </w:numPr>
              <w:ind w:left="4" w:leftChars="2" w:firstLine="0" w:firstLineChars="0"/>
              <w:rPr>
                <w:rFonts w:ascii="宋体" w:hAnsi="宋体" w:cs="宋体"/>
                <w:color w:val="auto"/>
                <w:highlight w:val="none"/>
              </w:rPr>
            </w:pPr>
            <w:r>
              <w:rPr>
                <w:rFonts w:hint="default" w:ascii="Wingdings" w:hAnsi="Wingdings" w:eastAsia="宋体" w:cs="宋体"/>
                <w:color w:val="auto"/>
                <w:sz w:val="21"/>
                <w:szCs w:val="21"/>
                <w:lang w:val="en-US" w:eastAsia="zh-CN" w:bidi="ar-SA"/>
              </w:rPr>
              <w:t></w:t>
            </w:r>
            <w:r>
              <w:rPr>
                <w:rFonts w:hint="eastAsia" w:ascii="宋体" w:hAnsi="宋体" w:cs="宋体"/>
                <w:color w:val="auto"/>
                <w:highlight w:val="none"/>
              </w:rPr>
              <w:t>负责终端设备的巡检工作及整理各楼层弱电井的线路等；</w:t>
            </w:r>
          </w:p>
          <w:p w14:paraId="1F70C0C3">
            <w:pPr>
              <w:pStyle w:val="22"/>
              <w:numPr>
                <w:ilvl w:val="0"/>
                <w:numId w:val="0"/>
              </w:numPr>
              <w:ind w:left="4" w:leftChars="2" w:firstLine="0" w:firstLineChars="0"/>
              <w:rPr>
                <w:rFonts w:ascii="宋体" w:hAnsi="宋体" w:cs="宋体"/>
                <w:color w:val="auto"/>
                <w:highlight w:val="none"/>
              </w:rPr>
            </w:pPr>
            <w:r>
              <w:rPr>
                <w:rFonts w:hint="default" w:ascii="Wingdings" w:hAnsi="Wingdings" w:eastAsia="宋体" w:cs="宋体"/>
                <w:color w:val="auto"/>
                <w:sz w:val="21"/>
                <w:szCs w:val="21"/>
                <w:lang w:val="en-US" w:eastAsia="zh-CN" w:bidi="ar-SA"/>
              </w:rPr>
              <w:t></w:t>
            </w:r>
            <w:r>
              <w:rPr>
                <w:rFonts w:hint="eastAsia" w:ascii="宋体" w:hAnsi="宋体" w:cs="宋体"/>
                <w:color w:val="auto"/>
                <w:highlight w:val="none"/>
              </w:rPr>
              <w:t>按规定完成服务记录并填写各类报告文档；</w:t>
            </w:r>
          </w:p>
          <w:p w14:paraId="439FB30F">
            <w:pPr>
              <w:pStyle w:val="22"/>
              <w:numPr>
                <w:ilvl w:val="0"/>
                <w:numId w:val="0"/>
              </w:numPr>
              <w:ind w:left="4" w:leftChars="2" w:firstLine="0" w:firstLineChars="0"/>
              <w:rPr>
                <w:rFonts w:ascii="宋体" w:hAnsi="宋体" w:cs="宋体"/>
                <w:color w:val="auto"/>
                <w:highlight w:val="none"/>
              </w:rPr>
            </w:pPr>
            <w:r>
              <w:rPr>
                <w:rFonts w:hint="default" w:ascii="Wingdings" w:hAnsi="Wingdings" w:eastAsia="宋体" w:cs="宋体"/>
                <w:color w:val="auto"/>
                <w:sz w:val="21"/>
                <w:szCs w:val="21"/>
                <w:lang w:val="en-US" w:eastAsia="zh-CN" w:bidi="ar-SA"/>
              </w:rPr>
              <w:t></w:t>
            </w:r>
            <w:r>
              <w:rPr>
                <w:rFonts w:hint="eastAsia" w:ascii="宋体" w:hAnsi="宋体" w:cs="宋体"/>
                <w:color w:val="auto"/>
                <w:highlight w:val="none"/>
              </w:rPr>
              <w:t>协助信息固定资产管理，包含信息设备的资产上线定位、粘贴固定资产标签。</w:t>
            </w:r>
          </w:p>
          <w:p w14:paraId="60A52575">
            <w:pPr>
              <w:pStyle w:val="22"/>
              <w:numPr>
                <w:ilvl w:val="0"/>
                <w:numId w:val="0"/>
              </w:numPr>
              <w:ind w:left="4" w:leftChars="2" w:firstLine="0" w:firstLineChars="0"/>
              <w:rPr>
                <w:rFonts w:ascii="宋体" w:hAnsi="宋体" w:cs="宋体"/>
                <w:color w:val="auto"/>
                <w:highlight w:val="none"/>
              </w:rPr>
            </w:pPr>
            <w:r>
              <w:rPr>
                <w:rFonts w:hint="default" w:ascii="Wingdings" w:hAnsi="Wingdings" w:eastAsia="宋体" w:cs="宋体"/>
                <w:color w:val="auto"/>
                <w:sz w:val="21"/>
                <w:szCs w:val="21"/>
                <w:lang w:val="en-US" w:eastAsia="zh-CN" w:bidi="ar-SA"/>
              </w:rPr>
              <w:t></w:t>
            </w:r>
            <w:r>
              <w:rPr>
                <w:rFonts w:hint="eastAsia" w:ascii="宋体" w:hAnsi="宋体" w:cs="宋体"/>
                <w:color w:val="auto"/>
                <w:highlight w:val="none"/>
              </w:rPr>
              <w:t>协助定期对信息固定资产进行盘点。</w:t>
            </w:r>
          </w:p>
          <w:p w14:paraId="3A9ADFA2">
            <w:pPr>
              <w:pStyle w:val="22"/>
              <w:numPr>
                <w:ilvl w:val="0"/>
                <w:numId w:val="0"/>
              </w:numPr>
              <w:ind w:left="4" w:leftChars="2" w:firstLine="0" w:firstLineChars="0"/>
              <w:rPr>
                <w:rFonts w:ascii="宋体" w:hAnsi="宋体" w:cs="宋体"/>
                <w:color w:val="auto"/>
                <w:highlight w:val="none"/>
              </w:rPr>
            </w:pPr>
            <w:r>
              <w:rPr>
                <w:rFonts w:hint="default" w:ascii="Wingdings" w:hAnsi="Wingdings" w:eastAsia="宋体" w:cs="宋体"/>
                <w:color w:val="auto"/>
                <w:sz w:val="21"/>
                <w:szCs w:val="21"/>
                <w:lang w:val="en-US" w:eastAsia="zh-CN" w:bidi="ar-SA"/>
              </w:rPr>
              <w:t></w:t>
            </w:r>
            <w:r>
              <w:rPr>
                <w:rFonts w:hint="eastAsia" w:ascii="宋体" w:hAnsi="宋体" w:cs="宋体"/>
                <w:color w:val="auto"/>
                <w:highlight w:val="none"/>
              </w:rPr>
              <w:t>协助信息固定资产报废管理工作。</w:t>
            </w:r>
          </w:p>
          <w:p w14:paraId="6282136E">
            <w:pPr>
              <w:pStyle w:val="22"/>
              <w:numPr>
                <w:ilvl w:val="0"/>
                <w:numId w:val="0"/>
              </w:numPr>
              <w:ind w:left="4" w:leftChars="2" w:firstLine="0" w:firstLineChars="0"/>
              <w:rPr>
                <w:rFonts w:ascii="宋体" w:hAnsi="宋体" w:cs="宋体"/>
                <w:color w:val="auto"/>
                <w:highlight w:val="none"/>
              </w:rPr>
            </w:pPr>
            <w:r>
              <w:rPr>
                <w:rFonts w:hint="default" w:ascii="Wingdings" w:hAnsi="Wingdings" w:eastAsia="宋体" w:cs="宋体"/>
                <w:color w:val="auto"/>
                <w:sz w:val="21"/>
                <w:szCs w:val="21"/>
                <w:lang w:val="en-US" w:eastAsia="zh-CN" w:bidi="ar-SA"/>
              </w:rPr>
              <w:t></w:t>
            </w:r>
            <w:r>
              <w:rPr>
                <w:rFonts w:hint="eastAsia" w:ascii="宋体" w:hAnsi="宋体" w:cs="宋体"/>
                <w:color w:val="auto"/>
                <w:highlight w:val="none"/>
              </w:rPr>
              <w:t>协助信息固定资产设备的安装工作。</w:t>
            </w:r>
          </w:p>
          <w:p w14:paraId="7D9D22B3">
            <w:pPr>
              <w:pStyle w:val="22"/>
              <w:numPr>
                <w:ilvl w:val="0"/>
                <w:numId w:val="0"/>
              </w:numPr>
              <w:ind w:left="4" w:leftChars="2" w:firstLine="0" w:firstLineChars="0"/>
              <w:rPr>
                <w:rFonts w:ascii="宋体" w:hAnsi="宋体" w:cs="宋体"/>
                <w:color w:val="auto"/>
                <w:highlight w:val="none"/>
              </w:rPr>
            </w:pPr>
            <w:r>
              <w:rPr>
                <w:rFonts w:hint="default" w:ascii="Wingdings" w:hAnsi="Wingdings" w:eastAsia="宋体" w:cs="宋体"/>
                <w:color w:val="auto"/>
                <w:sz w:val="21"/>
                <w:szCs w:val="21"/>
                <w:lang w:val="en-US" w:eastAsia="zh-CN" w:bidi="ar-SA"/>
              </w:rPr>
              <w:t></w:t>
            </w:r>
            <w:r>
              <w:rPr>
                <w:rFonts w:hint="eastAsia" w:ascii="宋体" w:hAnsi="宋体" w:cs="宋体"/>
                <w:color w:val="auto"/>
                <w:highlight w:val="none"/>
              </w:rPr>
              <w:t>负责对重大会议、指定会议的支持协助工作</w:t>
            </w:r>
          </w:p>
          <w:p w14:paraId="216647D4">
            <w:pPr>
              <w:pStyle w:val="22"/>
              <w:numPr>
                <w:ilvl w:val="0"/>
                <w:numId w:val="0"/>
              </w:numPr>
              <w:ind w:left="4" w:leftChars="2" w:firstLine="0" w:firstLineChars="0"/>
              <w:rPr>
                <w:rFonts w:ascii="宋体" w:hAnsi="宋体" w:cs="宋体"/>
                <w:color w:val="auto"/>
                <w:highlight w:val="none"/>
              </w:rPr>
            </w:pPr>
            <w:r>
              <w:rPr>
                <w:rFonts w:hint="default" w:ascii="Wingdings" w:hAnsi="Wingdings" w:eastAsia="宋体" w:cs="宋体"/>
                <w:color w:val="auto"/>
                <w:sz w:val="21"/>
                <w:szCs w:val="21"/>
                <w:lang w:val="en-US" w:eastAsia="zh-CN" w:bidi="ar-SA"/>
              </w:rPr>
              <w:t></w:t>
            </w:r>
            <w:r>
              <w:rPr>
                <w:rFonts w:hint="eastAsia" w:ascii="宋体" w:hAnsi="宋体" w:cs="宋体"/>
                <w:color w:val="auto"/>
                <w:highlight w:val="none"/>
                <w:lang w:eastAsia="zh-CN"/>
              </w:rPr>
              <w:t>负责</w:t>
            </w:r>
            <w:r>
              <w:rPr>
                <w:rFonts w:hint="eastAsia" w:ascii="宋体" w:hAnsi="宋体" w:cs="宋体"/>
                <w:color w:val="auto"/>
                <w:highlight w:val="none"/>
              </w:rPr>
              <w:t>自助机、推车</w:t>
            </w:r>
            <w:r>
              <w:rPr>
                <w:rFonts w:hint="eastAsia" w:ascii="宋体" w:hAnsi="宋体" w:cs="宋体"/>
                <w:color w:val="auto"/>
                <w:highlight w:val="none"/>
                <w:lang w:val="en-US" w:eastAsia="zh-CN"/>
              </w:rPr>
              <w:t>非工作时间的应急响应</w:t>
            </w:r>
            <w:r>
              <w:rPr>
                <w:rFonts w:hint="eastAsia" w:ascii="宋体" w:hAnsi="宋体" w:cs="宋体"/>
                <w:color w:val="auto"/>
                <w:highlight w:val="none"/>
              </w:rPr>
              <w:t>运维</w:t>
            </w:r>
            <w:r>
              <w:rPr>
                <w:rFonts w:hint="eastAsia" w:ascii="宋体" w:hAnsi="宋体" w:cs="宋体"/>
                <w:color w:val="auto"/>
                <w:highlight w:val="none"/>
                <w:lang w:val="en-US" w:eastAsia="zh-CN"/>
              </w:rPr>
              <w:t>工作</w:t>
            </w:r>
            <w:r>
              <w:rPr>
                <w:rFonts w:hint="eastAsia" w:ascii="宋体" w:hAnsi="宋体" w:cs="宋体"/>
                <w:color w:val="auto"/>
                <w:highlight w:val="none"/>
                <w:lang w:eastAsia="zh-CN"/>
              </w:rPr>
              <w:t>。</w:t>
            </w:r>
          </w:p>
          <w:p w14:paraId="33304B0A">
            <w:pPr>
              <w:pStyle w:val="22"/>
              <w:numPr>
                <w:ilvl w:val="0"/>
                <w:numId w:val="0"/>
              </w:numPr>
              <w:ind w:left="4" w:leftChars="2" w:firstLine="0" w:firstLineChars="0"/>
              <w:rPr>
                <w:rFonts w:ascii="宋体" w:hAnsi="宋体" w:cs="宋体"/>
                <w:color w:val="auto"/>
                <w:highlight w:val="none"/>
              </w:rPr>
            </w:pPr>
            <w:r>
              <w:rPr>
                <w:rFonts w:hint="default" w:ascii="Wingdings" w:hAnsi="Wingdings" w:eastAsia="宋体" w:cs="宋体"/>
                <w:color w:val="auto"/>
                <w:sz w:val="21"/>
                <w:szCs w:val="21"/>
                <w:lang w:val="en-US" w:eastAsia="zh-CN" w:bidi="ar-SA"/>
              </w:rPr>
              <w:t></w:t>
            </w:r>
            <w:r>
              <w:rPr>
                <w:rFonts w:hint="eastAsia" w:ascii="宋体" w:hAnsi="宋体" w:cs="宋体"/>
                <w:color w:val="auto"/>
                <w:highlight w:val="none"/>
              </w:rPr>
              <w:t>完成信息部门和服务团队上级下达的其他任务。</w:t>
            </w:r>
          </w:p>
          <w:p w14:paraId="5EBB7D92">
            <w:pPr>
              <w:pStyle w:val="22"/>
              <w:numPr>
                <w:ilvl w:val="0"/>
                <w:numId w:val="0"/>
              </w:numPr>
              <w:ind w:left="4" w:leftChars="2" w:firstLine="0" w:firstLineChars="0"/>
              <w:rPr>
                <w:rFonts w:ascii="宋体" w:hAnsi="宋体" w:cs="宋体"/>
                <w:color w:val="auto"/>
                <w:highlight w:val="none"/>
              </w:rPr>
            </w:pPr>
            <w:r>
              <w:rPr>
                <w:rFonts w:hint="default" w:ascii="Wingdings" w:hAnsi="Wingdings" w:eastAsia="宋体" w:cs="宋体"/>
                <w:color w:val="auto"/>
                <w:sz w:val="21"/>
                <w:szCs w:val="21"/>
                <w:lang w:val="en-US" w:eastAsia="zh-CN" w:bidi="ar-SA"/>
              </w:rPr>
              <w:t></w:t>
            </w:r>
            <w:r>
              <w:rPr>
                <w:rFonts w:hint="eastAsia" w:ascii="宋体" w:hAnsi="宋体" w:cs="宋体"/>
                <w:color w:val="auto"/>
                <w:highlight w:val="none"/>
              </w:rPr>
              <w:t>工作时间：工作日8:30至17:30（该时段内不少于5人岗驻场现场服务）；</w:t>
            </w:r>
          </w:p>
          <w:p w14:paraId="59CD3A0E">
            <w:pPr>
              <w:pStyle w:val="22"/>
              <w:numPr>
                <w:ilvl w:val="0"/>
                <w:numId w:val="0"/>
              </w:numPr>
              <w:ind w:left="4" w:leftChars="2" w:firstLine="0" w:firstLineChars="0"/>
              <w:rPr>
                <w:rFonts w:ascii="宋体" w:hAnsi="宋体" w:cs="宋体"/>
                <w:color w:val="auto"/>
                <w:highlight w:val="none"/>
              </w:rPr>
            </w:pPr>
            <w:r>
              <w:rPr>
                <w:rFonts w:hint="default" w:ascii="Wingdings" w:hAnsi="Wingdings" w:eastAsia="宋体" w:cs="宋体"/>
                <w:color w:val="auto"/>
                <w:sz w:val="21"/>
                <w:szCs w:val="21"/>
                <w:lang w:val="en-US" w:eastAsia="zh-CN" w:bidi="ar-SA"/>
              </w:rPr>
              <w:t></w:t>
            </w:r>
            <w:r>
              <w:rPr>
                <w:rFonts w:hint="eastAsia" w:ascii="宋体" w:hAnsi="宋体" w:cs="宋体"/>
                <w:color w:val="auto"/>
                <w:highlight w:val="none"/>
              </w:rPr>
              <w:t>值班时间：工作日17:30至次日8</w:t>
            </w:r>
            <w:r>
              <w:rPr>
                <w:rFonts w:hint="eastAsia" w:ascii="宋体" w:hAnsi="宋体" w:cs="宋体"/>
                <w:color w:val="auto"/>
                <w:highlight w:val="none"/>
                <w:lang w:eastAsia="zh-CN"/>
              </w:rPr>
              <w:t>:</w:t>
            </w:r>
            <w:r>
              <w:rPr>
                <w:rFonts w:hint="eastAsia" w:ascii="宋体" w:hAnsi="宋体" w:cs="宋体"/>
                <w:color w:val="auto"/>
                <w:highlight w:val="none"/>
              </w:rPr>
              <w:t>30；非工作日8</w:t>
            </w:r>
            <w:r>
              <w:rPr>
                <w:rFonts w:hint="eastAsia" w:ascii="宋体" w:hAnsi="宋体" w:cs="宋体"/>
                <w:color w:val="auto"/>
                <w:highlight w:val="none"/>
                <w:lang w:eastAsia="zh-CN"/>
              </w:rPr>
              <w:t>:</w:t>
            </w:r>
            <w:r>
              <w:rPr>
                <w:rFonts w:hint="eastAsia" w:ascii="宋体" w:hAnsi="宋体" w:cs="宋体"/>
                <w:color w:val="auto"/>
                <w:highlight w:val="none"/>
              </w:rPr>
              <w:t>30</w:t>
            </w:r>
            <w:r>
              <w:rPr>
                <w:rFonts w:hint="eastAsia" w:ascii="宋体" w:hAnsi="宋体" w:cs="宋体"/>
                <w:color w:val="auto"/>
                <w:highlight w:val="none"/>
                <w:lang w:eastAsia="zh-CN"/>
              </w:rPr>
              <w:t>－</w:t>
            </w:r>
            <w:r>
              <w:rPr>
                <w:rFonts w:hint="eastAsia" w:ascii="宋体" w:hAnsi="宋体" w:cs="宋体"/>
                <w:color w:val="auto"/>
                <w:highlight w:val="none"/>
              </w:rPr>
              <w:t>次日8</w:t>
            </w:r>
            <w:r>
              <w:rPr>
                <w:rFonts w:hint="eastAsia" w:ascii="宋体" w:hAnsi="宋体" w:cs="宋体"/>
                <w:color w:val="auto"/>
                <w:highlight w:val="none"/>
                <w:lang w:eastAsia="zh-CN"/>
              </w:rPr>
              <w:t>:</w:t>
            </w:r>
            <w:r>
              <w:rPr>
                <w:rFonts w:hint="eastAsia" w:ascii="宋体" w:hAnsi="宋体" w:cs="宋体"/>
                <w:color w:val="auto"/>
                <w:highlight w:val="none"/>
              </w:rPr>
              <w:t>30（该时段内不少于1人岗驻场现场服务）</w:t>
            </w:r>
          </w:p>
        </w:tc>
      </w:tr>
    </w:tbl>
    <w:p w14:paraId="55CF4F91">
      <w:pPr>
        <w:pStyle w:val="9"/>
        <w:rPr>
          <w:rFonts w:hAnsi="宋体" w:cs="宋体"/>
          <w:snapToGrid w:val="0"/>
          <w:color w:val="auto"/>
          <w:highlight w:val="none"/>
        </w:rPr>
      </w:pPr>
      <w:r>
        <w:rPr>
          <w:rFonts w:hint="eastAsia" w:hAnsi="宋体" w:cs="宋体"/>
          <w:color w:val="auto"/>
          <w:highlight w:val="none"/>
        </w:rPr>
        <w:t>注：</w:t>
      </w:r>
      <w:r>
        <w:rPr>
          <w:rFonts w:hint="eastAsia" w:hAnsi="宋体" w:cs="宋体"/>
          <w:b/>
          <w:snapToGrid w:val="0"/>
          <w:color w:val="auto"/>
          <w:highlight w:val="none"/>
        </w:rPr>
        <w:t>以上服务团队成员</w:t>
      </w:r>
      <w:r>
        <w:rPr>
          <w:rFonts w:hint="eastAsia" w:hAnsi="宋体" w:cs="宋体"/>
          <w:color w:val="auto"/>
          <w:highlight w:val="none"/>
        </w:rPr>
        <w:t>不能重复</w:t>
      </w:r>
      <w:r>
        <w:rPr>
          <w:rFonts w:hint="eastAsia" w:hAnsi="宋体" w:cs="宋体"/>
          <w:b/>
          <w:snapToGrid w:val="0"/>
          <w:color w:val="auto"/>
          <w:highlight w:val="none"/>
        </w:rPr>
        <w:t>，</w:t>
      </w:r>
      <w:r>
        <w:rPr>
          <w:rFonts w:hint="eastAsia" w:hAnsi="宋体" w:cs="宋体"/>
          <w:snapToGrid w:val="0"/>
          <w:color w:val="auto"/>
          <w:highlight w:val="none"/>
        </w:rPr>
        <w:t>需</w:t>
      </w:r>
      <w:r>
        <w:rPr>
          <w:rFonts w:hint="eastAsia" w:hAnsi="宋体" w:cs="宋体"/>
          <w:color w:val="auto"/>
          <w:highlight w:val="none"/>
        </w:rPr>
        <w:t>提供至招标日前最少半年的在投标单位缴纳的社保证明文件，并按需求提供合同复印件、资格证书等证明材料。如投标截止时间之前的社保材料因社保部门原因暂时无法取得，则可以往前顺推，需说明该情况</w:t>
      </w:r>
      <w:r>
        <w:rPr>
          <w:rFonts w:hint="eastAsia" w:hAnsi="宋体" w:cs="宋体"/>
          <w:snapToGrid w:val="0"/>
          <w:color w:val="auto"/>
          <w:highlight w:val="none"/>
        </w:rPr>
        <w:t>。</w:t>
      </w:r>
      <w:r>
        <w:rPr>
          <w:rFonts w:hint="eastAsia" w:hAnsi="宋体" w:cs="宋体"/>
          <w:b/>
          <w:snapToGrid w:val="0"/>
          <w:color w:val="auto"/>
          <w:highlight w:val="none"/>
        </w:rPr>
        <w:t>服务团队在合同期内不得擅自变更。</w:t>
      </w:r>
    </w:p>
    <w:p w14:paraId="0D2C62B8">
      <w:pPr>
        <w:ind w:firstLine="422"/>
        <w:rPr>
          <w:rFonts w:ascii="宋体" w:hAnsi="宋体" w:cs="宋体"/>
          <w:b/>
          <w:color w:val="auto"/>
          <w:highlight w:val="none"/>
        </w:rPr>
      </w:pPr>
      <w:r>
        <w:rPr>
          <w:rFonts w:hint="eastAsia" w:ascii="宋体" w:hAnsi="宋体" w:cs="宋体"/>
          <w:b/>
          <w:color w:val="auto"/>
          <w:highlight w:val="none"/>
          <w:lang w:eastAsia="zh-CN"/>
        </w:rPr>
        <w:t>4.</w:t>
      </w:r>
      <w:r>
        <w:rPr>
          <w:rFonts w:hint="eastAsia" w:ascii="宋体" w:hAnsi="宋体" w:cs="宋体"/>
          <w:b/>
          <w:color w:val="auto"/>
          <w:highlight w:val="none"/>
        </w:rPr>
        <w:t>业绩要求：</w:t>
      </w:r>
    </w:p>
    <w:p w14:paraId="7AD3D5AD">
      <w:pPr>
        <w:pStyle w:val="9"/>
        <w:rPr>
          <w:rFonts w:hAnsi="宋体" w:cs="宋体"/>
          <w:snapToGrid w:val="0"/>
          <w:color w:val="auto"/>
          <w:highlight w:val="none"/>
        </w:rPr>
      </w:pPr>
      <w:r>
        <w:rPr>
          <w:rFonts w:hint="eastAsia" w:hAnsi="宋体" w:cs="宋体"/>
          <w:snapToGrid w:val="0"/>
          <w:color w:val="auto"/>
          <w:highlight w:val="none"/>
          <w:lang w:bidi="ar"/>
        </w:rPr>
        <w:t>本次专业的运维服务，考虑到本项目中运维管理工作涉及多个系统管理工作，包括桌面终端日常运维管理、弱电井设备线路变更工作以及梳理信息资产等重要事项，要求乙方有丰富项目经验，参与供应商提供自</w:t>
      </w:r>
      <w:r>
        <w:rPr>
          <w:rFonts w:hint="eastAsia" w:hAnsi="宋体" w:cs="宋体"/>
          <w:snapToGrid w:val="0"/>
          <w:color w:val="auto"/>
          <w:highlight w:val="none"/>
        </w:rPr>
        <w:t>2020年1月1日至今（时间以合同签订日期为准）执行的同类</w:t>
      </w:r>
      <w:r>
        <w:rPr>
          <w:rFonts w:hint="eastAsia" w:hAnsi="宋体" w:cs="宋体"/>
          <w:snapToGrid w:val="0"/>
          <w:color w:val="auto"/>
          <w:highlight w:val="none"/>
          <w:lang w:bidi="ar"/>
        </w:rPr>
        <w:t>业绩要求</w:t>
      </w:r>
      <w:r>
        <w:rPr>
          <w:rFonts w:hint="eastAsia" w:hAnsi="宋体" w:cs="宋体"/>
          <w:snapToGrid w:val="0"/>
          <w:color w:val="auto"/>
          <w:highlight w:val="none"/>
        </w:rPr>
        <w:t>≥5份，并提供相应有效合同（提供合同关键页，页面须含签订合同双方的单位名称、合同项目名称与签订合同双方的落款盖章，复印件加盖投标人公章）。</w:t>
      </w:r>
    </w:p>
    <w:p w14:paraId="2BB94DD4">
      <w:pPr>
        <w:pStyle w:val="9"/>
        <w:rPr>
          <w:rFonts w:hAnsi="宋体" w:cs="宋体"/>
          <w:color w:val="auto"/>
          <w:highlight w:val="none"/>
        </w:rPr>
      </w:pPr>
    </w:p>
    <w:p w14:paraId="7EEB7AC7">
      <w:pPr>
        <w:pStyle w:val="9"/>
        <w:ind w:firstLine="422"/>
        <w:outlineLvl w:val="1"/>
        <w:rPr>
          <w:rFonts w:hAnsi="宋体" w:cs="宋体"/>
          <w:b/>
          <w:color w:val="auto"/>
          <w:highlight w:val="none"/>
        </w:rPr>
      </w:pPr>
      <w:r>
        <w:rPr>
          <w:rFonts w:hint="eastAsia" w:hAnsi="宋体" w:cs="宋体"/>
          <w:b/>
          <w:color w:val="auto"/>
          <w:highlight w:val="none"/>
        </w:rPr>
        <w:t>3.5服务管理要求</w:t>
      </w:r>
    </w:p>
    <w:p w14:paraId="2AD23069">
      <w:pPr>
        <w:rPr>
          <w:rFonts w:ascii="宋体" w:hAnsi="宋体" w:cs="宋体"/>
          <w:color w:val="auto"/>
          <w:highlight w:val="none"/>
        </w:rPr>
      </w:pPr>
      <w:r>
        <w:rPr>
          <w:rFonts w:hint="eastAsia" w:ascii="宋体" w:hAnsi="宋体" w:cs="宋体"/>
          <w:color w:val="auto"/>
          <w:highlight w:val="none"/>
          <w:lang w:eastAsia="zh-CN"/>
        </w:rPr>
        <w:t>1.</w:t>
      </w:r>
      <w:r>
        <w:rPr>
          <w:rFonts w:hint="eastAsia" w:ascii="宋体" w:hAnsi="宋体" w:cs="宋体"/>
          <w:color w:val="auto"/>
          <w:highlight w:val="none"/>
        </w:rPr>
        <w:t>服务团队规范要求：</w:t>
      </w:r>
    </w:p>
    <w:p w14:paraId="5C97F965">
      <w:pPr>
        <w:rPr>
          <w:rFonts w:ascii="宋体" w:hAnsi="宋体" w:cs="宋体"/>
          <w:color w:val="auto"/>
          <w:highlight w:val="none"/>
        </w:rPr>
      </w:pPr>
      <w:r>
        <w:rPr>
          <w:rFonts w:hint="eastAsia" w:ascii="宋体" w:hAnsi="宋体" w:cs="宋体"/>
          <w:color w:val="auto"/>
          <w:highlight w:val="none"/>
        </w:rPr>
        <w:t>维护人员衣着统一，保持整洁，佩戴胸卡，使用礼貌用语，不得使用服务禁语；乙方应安排熟练的技术人员进行驻场服务，并且能提供较好的服务质量。</w:t>
      </w:r>
    </w:p>
    <w:p w14:paraId="4D477BF2">
      <w:pPr>
        <w:rPr>
          <w:rFonts w:ascii="宋体" w:hAnsi="宋体" w:cs="宋体"/>
          <w:color w:val="auto"/>
          <w:highlight w:val="none"/>
        </w:rPr>
      </w:pPr>
      <w:r>
        <w:rPr>
          <w:rFonts w:hint="eastAsia" w:ascii="宋体" w:hAnsi="宋体" w:cs="宋体"/>
          <w:color w:val="auto"/>
          <w:highlight w:val="none"/>
        </w:rPr>
        <w:t>乙方技术人员在现场工作、活动时，需遵守医院的各项规章管理制度，态度诚恳地解答客户提出的相关问题，听从有关人员的工作安排和引导，不得做出有损医院形象和利益的事情；上班时间接到故障通知，应第一时间赶到现场，确定问题原因，如果属于服务范围内的按流程维修，否则通知医院相关管理部门处理。若医院用户对乙方某一技术人员的技术能力和服务态度投诉3次或以上，经医院查实并通知乙方后，乙方必须作出妥善解决措施，如未能及时采取有效措施消除影响的，乙方应予更换合格的技术人员。</w:t>
      </w:r>
    </w:p>
    <w:p w14:paraId="4A6ACE1A">
      <w:pPr>
        <w:rPr>
          <w:rFonts w:ascii="宋体" w:hAnsi="宋体" w:cs="宋体"/>
          <w:color w:val="auto"/>
          <w:highlight w:val="none"/>
        </w:rPr>
      </w:pPr>
      <w:r>
        <w:rPr>
          <w:rFonts w:hint="eastAsia" w:ascii="宋体" w:hAnsi="宋体" w:cs="宋体"/>
          <w:color w:val="auto"/>
          <w:highlight w:val="none"/>
          <w:lang w:eastAsia="zh-CN"/>
        </w:rPr>
        <w:t>2.</w:t>
      </w:r>
      <w:r>
        <w:rPr>
          <w:rFonts w:hint="eastAsia" w:ascii="宋体" w:hAnsi="宋体" w:cs="宋体"/>
          <w:color w:val="auto"/>
          <w:highlight w:val="none"/>
        </w:rPr>
        <w:t>服务团队人员管理要求：</w:t>
      </w:r>
    </w:p>
    <w:p w14:paraId="7E719774">
      <w:pPr>
        <w:ind w:firstLineChars="0"/>
        <w:rPr>
          <w:rFonts w:ascii="宋体" w:hAnsi="宋体" w:cs="宋体"/>
          <w:color w:val="auto"/>
          <w:highlight w:val="none"/>
        </w:rPr>
      </w:pPr>
      <w:r>
        <w:rPr>
          <w:rFonts w:hint="eastAsia" w:ascii="宋体" w:hAnsi="宋体" w:cs="宋体"/>
          <w:color w:val="auto"/>
          <w:highlight w:val="none"/>
        </w:rPr>
        <w:t>（1）服务提供商必须按照甲方的要求管理好项目经理及其成员，不得随意更换项目经理及其成员，如需更换人员，需提前一个月书面请示采购方信息部门，经同意后方可更换。</w:t>
      </w:r>
    </w:p>
    <w:p w14:paraId="66CC3F70">
      <w:pPr>
        <w:ind w:firstLineChars="0"/>
        <w:rPr>
          <w:rFonts w:ascii="宋体" w:hAnsi="宋体" w:cs="宋体"/>
          <w:color w:val="auto"/>
          <w:highlight w:val="none"/>
        </w:rPr>
      </w:pPr>
      <w:r>
        <w:rPr>
          <w:rFonts w:hint="eastAsia" w:ascii="宋体" w:hAnsi="宋体" w:cs="宋体"/>
          <w:color w:val="auto"/>
          <w:highlight w:val="none"/>
        </w:rPr>
        <w:t>（2）服务提供商需要保证对维护服务所涉及技术人员的技术支持和维护技能满足本项目的要求，提供的相关认证必须是真实有效的。</w:t>
      </w:r>
    </w:p>
    <w:p w14:paraId="44AAA718">
      <w:pPr>
        <w:rPr>
          <w:rFonts w:ascii="宋体" w:hAnsi="宋体" w:cs="宋体"/>
          <w:color w:val="auto"/>
          <w:highlight w:val="none"/>
        </w:rPr>
      </w:pPr>
      <w:r>
        <w:rPr>
          <w:rFonts w:hint="eastAsia" w:ascii="宋体" w:hAnsi="宋体" w:cs="宋体"/>
          <w:color w:val="auto"/>
          <w:highlight w:val="none"/>
        </w:rPr>
        <w:t>（3）人员的安全保密要求。项目所有成员，含项目经理、驻场人员、二线支持人员等。所提供人员在甲方工作期间掌握的</w:t>
      </w:r>
      <w:r>
        <w:rPr>
          <w:rFonts w:hint="eastAsia" w:ascii="宋体" w:hAnsi="宋体" w:cs="宋体"/>
          <w:color w:val="auto"/>
          <w:highlight w:val="none"/>
          <w:lang w:eastAsia="zh-CN"/>
        </w:rPr>
        <w:t>或</w:t>
      </w:r>
      <w:r>
        <w:rPr>
          <w:rFonts w:hint="eastAsia" w:ascii="宋体" w:hAnsi="宋体" w:cs="宋体"/>
          <w:color w:val="auto"/>
          <w:highlight w:val="none"/>
        </w:rPr>
        <w:t>因工作上的原因所接触到的一切技术工作信息均属于保密范围，需按甲方要求签署对应安全承诺书、保密承诺书等。</w:t>
      </w:r>
    </w:p>
    <w:p w14:paraId="61D923C6">
      <w:pPr>
        <w:rPr>
          <w:rFonts w:ascii="宋体" w:hAnsi="宋体" w:cs="宋体"/>
          <w:color w:val="auto"/>
          <w:highlight w:val="none"/>
        </w:rPr>
      </w:pPr>
      <w:r>
        <w:rPr>
          <w:rFonts w:hint="eastAsia" w:ascii="宋体" w:hAnsi="宋体" w:cs="宋体"/>
          <w:color w:val="auto"/>
          <w:highlight w:val="none"/>
          <w:lang w:eastAsia="zh-CN"/>
        </w:rPr>
        <w:t>3.</w:t>
      </w:r>
      <w:r>
        <w:rPr>
          <w:rFonts w:hint="eastAsia" w:ascii="宋体" w:hAnsi="宋体" w:cs="宋体"/>
          <w:b/>
          <w:color w:val="auto"/>
          <w:highlight w:val="none"/>
        </w:rPr>
        <w:t>★</w:t>
      </w:r>
      <w:r>
        <w:rPr>
          <w:rFonts w:hint="eastAsia" w:ascii="宋体" w:hAnsi="宋体" w:cs="宋体"/>
          <w:color w:val="auto"/>
          <w:highlight w:val="none"/>
        </w:rPr>
        <w:t>建立信息报障服务中心（服务台）</w:t>
      </w:r>
    </w:p>
    <w:p w14:paraId="623E5DE3">
      <w:pPr>
        <w:rPr>
          <w:rFonts w:ascii="宋体" w:hAnsi="宋体" w:cs="宋体"/>
          <w:color w:val="auto"/>
          <w:highlight w:val="none"/>
        </w:rPr>
      </w:pPr>
      <w:r>
        <w:rPr>
          <w:rFonts w:hint="eastAsia" w:ascii="宋体" w:hAnsi="宋体" w:cs="宋体"/>
          <w:color w:val="auto"/>
          <w:highlight w:val="none"/>
        </w:rPr>
        <w:t>（1）服务台工作内容</w:t>
      </w:r>
    </w:p>
    <w:p w14:paraId="0DA4AA14">
      <w:pPr>
        <w:rPr>
          <w:rFonts w:ascii="宋体" w:hAnsi="宋体" w:cs="宋体"/>
          <w:color w:val="auto"/>
          <w:highlight w:val="none"/>
        </w:rPr>
      </w:pPr>
      <w:r>
        <w:rPr>
          <w:rFonts w:hint="eastAsia" w:ascii="宋体" w:hAnsi="宋体" w:cs="宋体"/>
          <w:color w:val="auto"/>
          <w:highlight w:val="none"/>
        </w:rPr>
        <w:t>要求在中山大学附属第一（南沙）医院内建立</w:t>
      </w:r>
      <w:r>
        <w:rPr>
          <w:rFonts w:hint="eastAsia" w:ascii="宋体" w:hAnsi="宋体" w:cs="宋体"/>
          <w:b/>
          <w:color w:val="auto"/>
          <w:highlight w:val="none"/>
        </w:rPr>
        <w:t>统一的信息报障服务中心</w:t>
      </w:r>
      <w:r>
        <w:rPr>
          <w:rFonts w:hint="eastAsia" w:ascii="宋体" w:hAnsi="宋体" w:cs="宋体"/>
          <w:color w:val="auto"/>
          <w:highlight w:val="none"/>
        </w:rPr>
        <w:t>，安排1名服务台人员为终端用户提供报障热线电话的接听、任务分派、调度、故障咨询、技术知识咨询、简单故障电话指导处理以及对故障事件的录入和跟踪。</w:t>
      </w:r>
    </w:p>
    <w:p w14:paraId="011D883A">
      <w:pPr>
        <w:rPr>
          <w:rFonts w:ascii="宋体" w:hAnsi="宋体" w:cs="宋体"/>
          <w:color w:val="auto"/>
          <w:highlight w:val="none"/>
        </w:rPr>
      </w:pPr>
      <w:r>
        <w:rPr>
          <w:rFonts w:hint="eastAsia" w:ascii="宋体" w:hAnsi="宋体" w:cs="宋体"/>
          <w:color w:val="auto"/>
          <w:highlight w:val="none"/>
        </w:rPr>
        <w:t>（2）服务台服务工作要求</w:t>
      </w:r>
    </w:p>
    <w:p w14:paraId="64FFCD12">
      <w:pPr>
        <w:rPr>
          <w:rFonts w:ascii="宋体" w:hAnsi="宋体" w:cs="宋体"/>
          <w:color w:val="auto"/>
          <w:highlight w:val="none"/>
        </w:rPr>
      </w:pPr>
      <w:r>
        <w:rPr>
          <w:rFonts w:hint="eastAsia" w:ascii="宋体" w:hAnsi="宋体" w:cs="宋体"/>
          <w:color w:val="auto"/>
          <w:highlight w:val="none"/>
        </w:rPr>
        <w:t>电话接听延时≤1分钟，报障录入率在99%以上；</w:t>
      </w:r>
    </w:p>
    <w:p w14:paraId="446B07A1">
      <w:pPr>
        <w:rPr>
          <w:rFonts w:ascii="宋体" w:hAnsi="宋体" w:cs="宋体"/>
          <w:color w:val="auto"/>
          <w:highlight w:val="none"/>
          <w:lang w:eastAsia="zh-Hans"/>
        </w:rPr>
      </w:pPr>
      <w:r>
        <w:rPr>
          <w:rFonts w:hint="eastAsia" w:ascii="宋体" w:hAnsi="宋体" w:cs="宋体"/>
          <w:color w:val="auto"/>
          <w:highlight w:val="none"/>
        </w:rPr>
        <w:t>现</w:t>
      </w:r>
      <w:r>
        <w:rPr>
          <w:rFonts w:hint="eastAsia" w:ascii="宋体" w:hAnsi="宋体" w:cs="宋体"/>
          <w:color w:val="auto"/>
          <w:highlight w:val="none"/>
          <w:lang w:eastAsia="zh-Hans"/>
        </w:rPr>
        <w:t>场服务台是医院信息化服务的唯一窗口，对医院提供服务受理和进度查询以及结果反馈的窗口职能，对</w:t>
      </w:r>
      <w:r>
        <w:rPr>
          <w:rFonts w:hint="eastAsia" w:ascii="宋体" w:hAnsi="宋体" w:cs="宋体"/>
          <w:color w:val="auto"/>
          <w:highlight w:val="none"/>
        </w:rPr>
        <w:t>本项目和已被书面授权协助跟踪的其他项目服务</w:t>
      </w:r>
      <w:r>
        <w:rPr>
          <w:rFonts w:hint="eastAsia" w:ascii="宋体" w:hAnsi="宋体" w:cs="宋体"/>
          <w:color w:val="auto"/>
          <w:highlight w:val="none"/>
          <w:lang w:eastAsia="zh-Hans"/>
        </w:rPr>
        <w:t>履行监督管理</w:t>
      </w:r>
      <w:r>
        <w:rPr>
          <w:rFonts w:hint="eastAsia" w:ascii="宋体" w:hAnsi="宋体" w:cs="宋体"/>
          <w:color w:val="auto"/>
          <w:highlight w:val="none"/>
        </w:rPr>
        <w:t>、</w:t>
      </w:r>
      <w:r>
        <w:rPr>
          <w:rFonts w:hint="eastAsia" w:ascii="宋体" w:hAnsi="宋体" w:cs="宋体"/>
          <w:color w:val="auto"/>
          <w:highlight w:val="none"/>
          <w:lang w:eastAsia="zh-Hans"/>
        </w:rPr>
        <w:t>事件升级提醒</w:t>
      </w:r>
      <w:r>
        <w:rPr>
          <w:rFonts w:hint="eastAsia" w:ascii="宋体" w:hAnsi="宋体" w:cs="宋体"/>
          <w:color w:val="auto"/>
          <w:highlight w:val="none"/>
        </w:rPr>
        <w:t>，以及随时</w:t>
      </w:r>
      <w:r>
        <w:rPr>
          <w:rFonts w:hint="eastAsia" w:ascii="宋体" w:hAnsi="宋体" w:cs="宋体"/>
          <w:color w:val="auto"/>
          <w:highlight w:val="none"/>
          <w:lang w:eastAsia="zh-Hans"/>
        </w:rPr>
        <w:t>监管服务状态和反馈服务结果的职能。</w:t>
      </w:r>
    </w:p>
    <w:p w14:paraId="5910737E">
      <w:pPr>
        <w:rPr>
          <w:rFonts w:ascii="宋体" w:hAnsi="宋体" w:cs="宋体"/>
          <w:color w:val="auto"/>
          <w:highlight w:val="none"/>
          <w:lang w:eastAsia="zh-Hans"/>
        </w:rPr>
      </w:pPr>
      <w:r>
        <w:rPr>
          <w:rFonts w:hint="eastAsia" w:ascii="宋体" w:hAnsi="宋体" w:cs="宋体"/>
          <w:color w:val="auto"/>
          <w:highlight w:val="none"/>
          <w:lang w:eastAsia="zh-Hans"/>
        </w:rPr>
        <w:t>服务台座席接听电话或者接</w:t>
      </w:r>
      <w:r>
        <w:rPr>
          <w:rFonts w:hint="eastAsia" w:ascii="宋体" w:hAnsi="宋体" w:cs="宋体"/>
          <w:color w:val="auto"/>
          <w:highlight w:val="none"/>
          <w:lang w:val="en-US" w:eastAsia="zh-CN"/>
        </w:rPr>
        <w:t>收</w:t>
      </w:r>
      <w:r>
        <w:rPr>
          <w:rFonts w:hint="eastAsia" w:ascii="宋体" w:hAnsi="宋体" w:cs="宋体"/>
          <w:color w:val="auto"/>
          <w:highlight w:val="none"/>
          <w:lang w:eastAsia="zh-Hans"/>
        </w:rPr>
        <w:t>信息同时需要将信息录入系统生成服务工单。其他途径或者方式的报修，需要自助或者电话代替客户报修</w:t>
      </w:r>
      <w:r>
        <w:rPr>
          <w:rFonts w:hint="eastAsia" w:ascii="宋体" w:hAnsi="宋体" w:cs="宋体"/>
          <w:color w:val="auto"/>
          <w:highlight w:val="none"/>
        </w:rPr>
        <w:t>，</w:t>
      </w:r>
      <w:r>
        <w:rPr>
          <w:rFonts w:hint="eastAsia" w:ascii="宋体" w:hAnsi="宋体" w:cs="宋体"/>
          <w:color w:val="auto"/>
          <w:highlight w:val="none"/>
          <w:lang w:eastAsia="zh-Hans"/>
        </w:rPr>
        <w:t>所有的服务事件必须有记录</w:t>
      </w:r>
      <w:r>
        <w:rPr>
          <w:rFonts w:hint="eastAsia" w:ascii="宋体" w:hAnsi="宋体" w:cs="宋体"/>
          <w:color w:val="auto"/>
          <w:highlight w:val="none"/>
        </w:rPr>
        <w:t>，</w:t>
      </w:r>
      <w:r>
        <w:rPr>
          <w:rFonts w:hint="eastAsia" w:ascii="宋体" w:hAnsi="宋体" w:cs="宋体"/>
          <w:color w:val="auto"/>
          <w:highlight w:val="none"/>
          <w:lang w:eastAsia="zh-Hans"/>
        </w:rPr>
        <w:t>未经服务台录入系统产生的工单若发生投诉，一律不计为有效投诉</w:t>
      </w:r>
      <w:r>
        <w:rPr>
          <w:rFonts w:hint="eastAsia" w:ascii="宋体" w:hAnsi="宋体" w:cs="宋体"/>
          <w:color w:val="auto"/>
          <w:highlight w:val="none"/>
        </w:rPr>
        <w:t>。</w:t>
      </w:r>
    </w:p>
    <w:p w14:paraId="672B97F7">
      <w:pPr>
        <w:rPr>
          <w:rFonts w:ascii="宋体" w:hAnsi="宋体" w:cs="宋体"/>
          <w:color w:val="auto"/>
          <w:highlight w:val="none"/>
          <w:lang w:eastAsia="zh-Hans"/>
        </w:rPr>
      </w:pPr>
      <w:r>
        <w:rPr>
          <w:rFonts w:hint="eastAsia" w:ascii="宋体" w:hAnsi="宋体" w:cs="宋体"/>
          <w:color w:val="auto"/>
          <w:highlight w:val="none"/>
        </w:rPr>
        <w:t>工程师</w:t>
      </w:r>
      <w:r>
        <w:rPr>
          <w:rFonts w:hint="eastAsia" w:ascii="宋体" w:hAnsi="宋体" w:cs="宋体"/>
          <w:color w:val="auto"/>
          <w:highlight w:val="none"/>
          <w:lang w:eastAsia="zh-Hans"/>
        </w:rPr>
        <w:t>服务</w:t>
      </w:r>
      <w:r>
        <w:rPr>
          <w:rFonts w:hint="eastAsia" w:ascii="宋体" w:hAnsi="宋体" w:cs="宋体"/>
          <w:color w:val="auto"/>
          <w:highlight w:val="none"/>
        </w:rPr>
        <w:t>后</w:t>
      </w:r>
      <w:r>
        <w:rPr>
          <w:rFonts w:hint="eastAsia" w:ascii="宋体" w:hAnsi="宋体" w:cs="宋体"/>
          <w:color w:val="auto"/>
          <w:highlight w:val="none"/>
          <w:lang w:eastAsia="zh-Hans"/>
        </w:rPr>
        <w:t>当天必须备注</w:t>
      </w:r>
      <w:r>
        <w:rPr>
          <w:rFonts w:hint="eastAsia" w:ascii="宋体" w:hAnsi="宋体" w:cs="宋体"/>
          <w:color w:val="auto"/>
          <w:highlight w:val="none"/>
        </w:rPr>
        <w:t>工单和向服务台汇报服务</w:t>
      </w:r>
      <w:r>
        <w:rPr>
          <w:rFonts w:hint="eastAsia" w:ascii="宋体" w:hAnsi="宋体" w:cs="宋体"/>
          <w:color w:val="auto"/>
          <w:highlight w:val="none"/>
          <w:lang w:eastAsia="zh-Hans"/>
        </w:rPr>
        <w:t>过程</w:t>
      </w:r>
      <w:r>
        <w:rPr>
          <w:rFonts w:hint="eastAsia" w:ascii="宋体" w:hAnsi="宋体" w:cs="宋体"/>
          <w:color w:val="auto"/>
          <w:highlight w:val="none"/>
        </w:rPr>
        <w:t>或</w:t>
      </w:r>
      <w:r>
        <w:rPr>
          <w:rFonts w:hint="eastAsia" w:ascii="宋体" w:hAnsi="宋体" w:cs="宋体"/>
          <w:color w:val="auto"/>
          <w:highlight w:val="none"/>
          <w:lang w:eastAsia="zh-Hans"/>
        </w:rPr>
        <w:t>结果</w:t>
      </w:r>
      <w:r>
        <w:rPr>
          <w:rFonts w:hint="eastAsia" w:ascii="宋体" w:hAnsi="宋体" w:cs="宋体"/>
          <w:color w:val="auto"/>
          <w:highlight w:val="none"/>
        </w:rPr>
        <w:t>，</w:t>
      </w:r>
      <w:r>
        <w:rPr>
          <w:rFonts w:hint="eastAsia" w:ascii="宋体" w:hAnsi="宋体" w:cs="宋体"/>
          <w:color w:val="auto"/>
          <w:highlight w:val="none"/>
          <w:lang w:eastAsia="zh-Hans"/>
        </w:rPr>
        <w:t>完成工单当天必须关单</w:t>
      </w:r>
      <w:r>
        <w:rPr>
          <w:rFonts w:hint="eastAsia" w:ascii="宋体" w:hAnsi="宋体" w:cs="宋体"/>
          <w:color w:val="auto"/>
          <w:highlight w:val="none"/>
        </w:rPr>
        <w:t>，</w:t>
      </w:r>
      <w:r>
        <w:rPr>
          <w:rFonts w:hint="eastAsia" w:ascii="宋体" w:hAnsi="宋体" w:cs="宋体"/>
          <w:color w:val="auto"/>
          <w:highlight w:val="none"/>
          <w:lang w:eastAsia="zh-Hans"/>
        </w:rPr>
        <w:t>未能完成工单必须备注说明原因以及预估下次处理时间。</w:t>
      </w:r>
    </w:p>
    <w:p w14:paraId="0E71CDDA">
      <w:pPr>
        <w:rPr>
          <w:rFonts w:ascii="宋体" w:hAnsi="宋体" w:cs="宋体"/>
          <w:color w:val="auto"/>
          <w:highlight w:val="none"/>
          <w:lang w:eastAsia="zh-Hans"/>
        </w:rPr>
      </w:pPr>
      <w:r>
        <w:rPr>
          <w:rFonts w:hint="eastAsia" w:ascii="宋体" w:hAnsi="宋体" w:cs="宋体"/>
          <w:color w:val="auto"/>
          <w:highlight w:val="none"/>
        </w:rPr>
        <w:t>当发现</w:t>
      </w:r>
      <w:r>
        <w:rPr>
          <w:rFonts w:hint="eastAsia" w:ascii="宋体" w:hAnsi="宋体" w:cs="宋体"/>
          <w:color w:val="auto"/>
          <w:highlight w:val="none"/>
          <w:lang w:eastAsia="zh-Hans"/>
        </w:rPr>
        <w:t>故障</w:t>
      </w:r>
      <w:r>
        <w:rPr>
          <w:rFonts w:hint="eastAsia" w:ascii="宋体" w:hAnsi="宋体" w:cs="宋体"/>
          <w:color w:val="auto"/>
          <w:highlight w:val="none"/>
        </w:rPr>
        <w:t>非本项目</w:t>
      </w:r>
      <w:r>
        <w:rPr>
          <w:rFonts w:hint="eastAsia" w:ascii="宋体" w:hAnsi="宋体" w:cs="宋体"/>
          <w:color w:val="auto"/>
          <w:highlight w:val="none"/>
          <w:lang w:eastAsia="zh-Hans"/>
        </w:rPr>
        <w:t>全保</w:t>
      </w:r>
      <w:r>
        <w:rPr>
          <w:rFonts w:hint="eastAsia" w:ascii="宋体" w:hAnsi="宋体" w:cs="宋体"/>
          <w:color w:val="auto"/>
          <w:highlight w:val="none"/>
        </w:rPr>
        <w:t>服务</w:t>
      </w:r>
      <w:r>
        <w:rPr>
          <w:rFonts w:hint="eastAsia" w:ascii="宋体" w:hAnsi="宋体" w:cs="宋体"/>
          <w:color w:val="auto"/>
          <w:highlight w:val="none"/>
          <w:lang w:eastAsia="zh-Hans"/>
        </w:rPr>
        <w:t>范围时</w:t>
      </w:r>
      <w:r>
        <w:rPr>
          <w:rFonts w:hint="eastAsia" w:ascii="宋体" w:hAnsi="宋体" w:cs="宋体"/>
          <w:color w:val="auto"/>
          <w:highlight w:val="none"/>
        </w:rPr>
        <w:t>，</w:t>
      </w:r>
      <w:r>
        <w:rPr>
          <w:rFonts w:hint="eastAsia" w:ascii="宋体" w:hAnsi="宋体" w:cs="宋体"/>
          <w:color w:val="auto"/>
          <w:highlight w:val="none"/>
          <w:lang w:eastAsia="zh-Hans"/>
        </w:rPr>
        <w:t>系统关单同时关联生成新的工单，服务台委派相应其他</w:t>
      </w:r>
      <w:r>
        <w:rPr>
          <w:rFonts w:hint="eastAsia" w:ascii="宋体" w:hAnsi="宋体" w:cs="宋体"/>
          <w:color w:val="auto"/>
          <w:highlight w:val="none"/>
        </w:rPr>
        <w:t>服务</w:t>
      </w:r>
      <w:r>
        <w:rPr>
          <w:rFonts w:hint="eastAsia" w:ascii="宋体" w:hAnsi="宋体" w:cs="宋体"/>
          <w:color w:val="auto"/>
          <w:highlight w:val="none"/>
          <w:lang w:eastAsia="zh-Hans"/>
        </w:rPr>
        <w:t>供应商或</w:t>
      </w:r>
      <w:r>
        <w:rPr>
          <w:rFonts w:hint="eastAsia" w:ascii="宋体" w:hAnsi="宋体" w:cs="宋体"/>
          <w:color w:val="auto"/>
          <w:highlight w:val="none"/>
        </w:rPr>
        <w:t>相应楼层负责人跟进处理</w:t>
      </w:r>
      <w:r>
        <w:rPr>
          <w:rFonts w:hint="eastAsia" w:ascii="宋体" w:hAnsi="宋体" w:cs="宋体"/>
          <w:color w:val="auto"/>
          <w:highlight w:val="none"/>
          <w:lang w:eastAsia="zh-Hans"/>
        </w:rPr>
        <w:t>。</w:t>
      </w:r>
    </w:p>
    <w:p w14:paraId="3EF2E5FC">
      <w:pPr>
        <w:rPr>
          <w:rFonts w:ascii="宋体" w:hAnsi="宋体" w:cs="宋体"/>
          <w:color w:val="auto"/>
          <w:highlight w:val="none"/>
        </w:rPr>
      </w:pPr>
      <w:r>
        <w:rPr>
          <w:rFonts w:hint="eastAsia" w:ascii="宋体" w:hAnsi="宋体" w:cs="宋体"/>
          <w:color w:val="auto"/>
          <w:highlight w:val="none"/>
        </w:rPr>
        <w:t>服务台人员每天下班前必须跟进一次本项目和已被书面授权协助跟踪的其他项目未完成服务的处理状态或结果直到最后完成关单为止。</w:t>
      </w:r>
    </w:p>
    <w:p w14:paraId="076DBA75">
      <w:pPr>
        <w:pStyle w:val="4"/>
        <w:spacing w:before="156" w:after="156"/>
        <w:ind w:firstLine="422"/>
        <w:rPr>
          <w:rFonts w:cs="宋体"/>
          <w:color w:val="auto"/>
          <w:sz w:val="21"/>
          <w:szCs w:val="21"/>
          <w:highlight w:val="none"/>
        </w:rPr>
      </w:pPr>
      <w:r>
        <w:rPr>
          <w:rFonts w:hint="eastAsia" w:cs="宋体"/>
          <w:color w:val="auto"/>
          <w:sz w:val="21"/>
          <w:szCs w:val="21"/>
          <w:highlight w:val="none"/>
        </w:rPr>
        <w:t>3.6专项服务需求</w:t>
      </w:r>
    </w:p>
    <w:p w14:paraId="1796E00A">
      <w:pPr>
        <w:rPr>
          <w:rFonts w:ascii="宋体" w:hAnsi="宋体" w:cs="宋体"/>
          <w:color w:val="auto"/>
          <w:highlight w:val="none"/>
        </w:rPr>
      </w:pPr>
      <w:r>
        <w:rPr>
          <w:rFonts w:hint="eastAsia" w:ascii="宋体" w:hAnsi="宋体" w:cs="宋体"/>
          <w:color w:val="auto"/>
          <w:highlight w:val="none"/>
        </w:rPr>
        <w:t>（1）协助采购人开展信息设备盘点服务：</w:t>
      </w:r>
    </w:p>
    <w:p w14:paraId="121DA8B1">
      <w:pPr>
        <w:rPr>
          <w:rFonts w:ascii="宋体" w:hAnsi="宋体" w:cs="宋体"/>
          <w:color w:val="auto"/>
          <w:highlight w:val="none"/>
        </w:rPr>
      </w:pPr>
      <w:r>
        <w:rPr>
          <w:rFonts w:hint="eastAsia" w:ascii="宋体" w:hAnsi="宋体" w:cs="宋体"/>
          <w:color w:val="auto"/>
          <w:highlight w:val="none"/>
        </w:rPr>
        <w:t>乙方需共同参与医院信息设备盘点工作。乙方每年派至少两人共同参与医院信息设备盘点工作，包括但不限于计算机、打印机等设备。</w:t>
      </w:r>
    </w:p>
    <w:p w14:paraId="16DD459A">
      <w:pPr>
        <w:rPr>
          <w:rFonts w:ascii="宋体" w:hAnsi="宋体" w:cs="宋体"/>
          <w:color w:val="auto"/>
          <w:highlight w:val="none"/>
        </w:rPr>
      </w:pPr>
      <w:r>
        <w:rPr>
          <w:rFonts w:hint="eastAsia" w:ascii="宋体" w:hAnsi="宋体" w:cs="宋体"/>
          <w:color w:val="auto"/>
          <w:highlight w:val="none"/>
        </w:rPr>
        <w:t>（2）科室新建或搬迁的拆装设备服务：</w:t>
      </w:r>
    </w:p>
    <w:p w14:paraId="41C3DA5F">
      <w:pPr>
        <w:rPr>
          <w:rFonts w:ascii="宋体" w:hAnsi="宋体" w:cs="宋体"/>
          <w:color w:val="auto"/>
          <w:highlight w:val="none"/>
        </w:rPr>
      </w:pPr>
      <w:r>
        <w:rPr>
          <w:rFonts w:hint="eastAsia" w:ascii="宋体" w:hAnsi="宋体" w:cs="宋体"/>
          <w:color w:val="auto"/>
          <w:highlight w:val="none"/>
        </w:rPr>
        <w:t>乙方向医院提供由于科室新建或搬迁后设备配置服务。当医院有新建科室或科室因装修、科室调整的需求时，需协助科室对信息设备进行搬迁配置。包括搬迁前的信息设备拆卸，装修完成后信息点的测试，搬迁后的信息设备安装、连接、配置，线路整理等</w:t>
      </w:r>
    </w:p>
    <w:p w14:paraId="119D358C">
      <w:pPr>
        <w:pStyle w:val="4"/>
        <w:spacing w:before="156" w:after="156"/>
        <w:ind w:firstLine="422"/>
        <w:rPr>
          <w:rFonts w:cs="宋体"/>
          <w:color w:val="auto"/>
          <w:sz w:val="21"/>
          <w:szCs w:val="21"/>
          <w:highlight w:val="none"/>
        </w:rPr>
      </w:pPr>
      <w:r>
        <w:rPr>
          <w:rFonts w:hint="eastAsia" w:cs="宋体"/>
          <w:color w:val="auto"/>
          <w:sz w:val="21"/>
          <w:szCs w:val="21"/>
          <w:highlight w:val="none"/>
        </w:rPr>
        <w:t>3.7主动服务需求</w:t>
      </w:r>
    </w:p>
    <w:p w14:paraId="571BF6D4">
      <w:pPr>
        <w:rPr>
          <w:rFonts w:ascii="宋体" w:hAnsi="宋体" w:cs="宋体"/>
          <w:color w:val="auto"/>
          <w:highlight w:val="none"/>
        </w:rPr>
      </w:pPr>
      <w:r>
        <w:rPr>
          <w:rFonts w:hint="eastAsia" w:ascii="宋体" w:hAnsi="宋体" w:cs="宋体"/>
          <w:color w:val="auto"/>
          <w:highlight w:val="none"/>
        </w:rPr>
        <w:t>乙方需要为中山大学附属第一（南沙）医院的设备开展定期主动巡检服务，以降低设备硬件故障发生率，同时对所有设备进行分类并登记在册，建立维保设备服务档案，包括设备验机，设备软、硬件配置信息登记，设备使用信息登记，粘贴服务标签等；</w:t>
      </w:r>
    </w:p>
    <w:p w14:paraId="66D8FAFB">
      <w:pPr>
        <w:pStyle w:val="22"/>
        <w:numPr>
          <w:ilvl w:val="0"/>
          <w:numId w:val="5"/>
        </w:numPr>
        <w:rPr>
          <w:rFonts w:ascii="宋体" w:hAnsi="宋体" w:cs="宋体"/>
          <w:color w:val="auto"/>
          <w:highlight w:val="none"/>
        </w:rPr>
      </w:pPr>
      <w:r>
        <w:rPr>
          <w:rFonts w:hint="eastAsia" w:ascii="宋体" w:hAnsi="宋体" w:cs="宋体"/>
          <w:color w:val="auto"/>
          <w:highlight w:val="none"/>
        </w:rPr>
        <w:t>定时巡查：</w:t>
      </w:r>
    </w:p>
    <w:p w14:paraId="2D215277">
      <w:pPr>
        <w:rPr>
          <w:rFonts w:ascii="宋体" w:hAnsi="宋体" w:cs="宋体"/>
          <w:color w:val="auto"/>
          <w:highlight w:val="none"/>
        </w:rPr>
      </w:pPr>
      <w:r>
        <w:rPr>
          <w:rFonts w:hint="eastAsia" w:ascii="宋体" w:hAnsi="宋体" w:cs="宋体"/>
          <w:color w:val="auto"/>
          <w:highlight w:val="none"/>
        </w:rPr>
        <w:t>安排固定人员定期对重要科室如门诊进行巡检，保证临床科室上班开机即进入正常工作状态；</w:t>
      </w:r>
    </w:p>
    <w:p w14:paraId="72656C8E">
      <w:pPr>
        <w:pStyle w:val="22"/>
        <w:numPr>
          <w:ilvl w:val="0"/>
          <w:numId w:val="5"/>
        </w:numPr>
        <w:rPr>
          <w:rFonts w:ascii="宋体" w:hAnsi="宋体" w:cs="宋体"/>
          <w:color w:val="auto"/>
          <w:highlight w:val="none"/>
        </w:rPr>
      </w:pPr>
      <w:r>
        <w:rPr>
          <w:rFonts w:hint="eastAsia" w:ascii="宋体" w:hAnsi="宋体" w:cs="宋体"/>
          <w:color w:val="auto"/>
          <w:highlight w:val="none"/>
        </w:rPr>
        <w:t>巡查对象：</w:t>
      </w:r>
    </w:p>
    <w:p w14:paraId="38026ECF">
      <w:pPr>
        <w:pStyle w:val="22"/>
        <w:numPr>
          <w:ilvl w:val="0"/>
          <w:numId w:val="6"/>
        </w:numPr>
        <w:rPr>
          <w:rFonts w:ascii="宋体" w:hAnsi="宋体" w:cs="宋体"/>
          <w:color w:val="auto"/>
          <w:highlight w:val="none"/>
        </w:rPr>
      </w:pPr>
      <w:r>
        <w:rPr>
          <w:rFonts w:hint="eastAsia" w:ascii="宋体" w:hAnsi="宋体" w:cs="宋体"/>
          <w:color w:val="auto"/>
          <w:highlight w:val="none"/>
        </w:rPr>
        <w:t>每日对重点区域设备巡查</w:t>
      </w:r>
      <w:r>
        <w:rPr>
          <w:rFonts w:hint="eastAsia" w:ascii="宋体" w:hAnsi="宋体" w:cs="宋体"/>
          <w:color w:val="auto"/>
          <w:highlight w:val="none"/>
          <w:lang w:eastAsia="zh-CN"/>
        </w:rPr>
        <w:t>：</w:t>
      </w:r>
    </w:p>
    <w:p w14:paraId="5061D257">
      <w:pPr>
        <w:rPr>
          <w:rFonts w:ascii="宋体" w:hAnsi="宋体" w:cs="宋体"/>
          <w:color w:val="auto"/>
          <w:highlight w:val="none"/>
        </w:rPr>
      </w:pPr>
      <w:r>
        <w:rPr>
          <w:rFonts w:hint="eastAsia" w:ascii="宋体" w:hAnsi="宋体" w:cs="宋体"/>
          <w:color w:val="auto"/>
          <w:highlight w:val="none"/>
        </w:rPr>
        <w:t>安排至少</w:t>
      </w:r>
      <w:r>
        <w:rPr>
          <w:rFonts w:ascii="宋体" w:hAnsi="宋体" w:cs="宋体"/>
          <w:color w:val="auto"/>
          <w:highlight w:val="none"/>
        </w:rPr>
        <w:t>1名驻场技术员，</w:t>
      </w:r>
      <w:bookmarkStart w:id="32" w:name="OLE_LINK4"/>
      <w:r>
        <w:rPr>
          <w:rFonts w:hint="eastAsia" w:ascii="宋体" w:hAnsi="宋体" w:cs="宋体"/>
          <w:color w:val="auto"/>
          <w:highlight w:val="none"/>
        </w:rPr>
        <w:t>主动到门诊楼等重要科室巡查</w:t>
      </w:r>
      <w:bookmarkEnd w:id="32"/>
      <w:r>
        <w:rPr>
          <w:rFonts w:hint="eastAsia" w:ascii="宋体" w:hAnsi="宋体" w:cs="宋体"/>
          <w:color w:val="auto"/>
          <w:highlight w:val="none"/>
        </w:rPr>
        <w:t>，检查机器的运行状态并做好登记；发现问题及时处理或报修安排后面的同事跟进维护。</w:t>
      </w:r>
    </w:p>
    <w:p w14:paraId="53CF36F6">
      <w:pPr>
        <w:rPr>
          <w:rFonts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2）</w:t>
      </w:r>
      <w:r>
        <w:rPr>
          <w:rFonts w:hint="eastAsia" w:ascii="宋体" w:hAnsi="宋体" w:cs="宋体"/>
          <w:color w:val="auto"/>
          <w:highlight w:val="none"/>
        </w:rPr>
        <w:t>每日对重点设备巡查</w:t>
      </w:r>
      <w:r>
        <w:rPr>
          <w:rFonts w:hint="eastAsia" w:ascii="宋体" w:hAnsi="宋体" w:cs="宋体"/>
          <w:color w:val="auto"/>
          <w:highlight w:val="none"/>
          <w:lang w:eastAsia="zh-CN"/>
        </w:rPr>
        <w:t>：</w:t>
      </w:r>
    </w:p>
    <w:p w14:paraId="4F7C4FA9">
      <w:pPr>
        <w:rPr>
          <w:rFonts w:ascii="宋体" w:hAnsi="宋体" w:cs="宋体"/>
          <w:color w:val="auto"/>
          <w:highlight w:val="none"/>
        </w:rPr>
      </w:pPr>
      <w:r>
        <w:rPr>
          <w:rFonts w:hint="eastAsia" w:ascii="宋体" w:hAnsi="宋体" w:cs="宋体"/>
          <w:color w:val="auto"/>
          <w:highlight w:val="none"/>
        </w:rPr>
        <w:t>针对打印机设置专人负责对重要科室巡检并记录打印机工作状态，主动添加耗材，及时检查网络，定期清洁，提高打印机使用寿命。</w:t>
      </w:r>
    </w:p>
    <w:p w14:paraId="6F08ED7E">
      <w:pPr>
        <w:rPr>
          <w:rFonts w:ascii="宋体" w:hAnsi="宋体" w:cs="宋体"/>
          <w:color w:val="auto"/>
          <w:highlight w:val="none"/>
        </w:rPr>
      </w:pPr>
      <w:r>
        <w:rPr>
          <w:rFonts w:hint="eastAsia" w:ascii="宋体" w:hAnsi="宋体" w:cs="宋体"/>
          <w:color w:val="auto"/>
          <w:highlight w:val="none"/>
        </w:rPr>
        <w:t>（3）对共性问题项目性预防处理：</w:t>
      </w:r>
    </w:p>
    <w:p w14:paraId="448BF894">
      <w:pPr>
        <w:rPr>
          <w:rFonts w:ascii="宋体" w:hAnsi="宋体" w:cs="宋体"/>
          <w:color w:val="auto"/>
          <w:highlight w:val="none"/>
        </w:rPr>
      </w:pPr>
      <w:r>
        <w:rPr>
          <w:rFonts w:hint="eastAsia" w:ascii="宋体" w:hAnsi="宋体" w:cs="宋体"/>
          <w:color w:val="auto"/>
          <w:highlight w:val="none"/>
        </w:rPr>
        <w:t>每周监控服务数据，每月做数据分析，发现共性问题提出项目解决方案，主动通知医院发通知整改。</w:t>
      </w:r>
    </w:p>
    <w:p w14:paraId="21C6D5E3">
      <w:pPr>
        <w:numPr>
          <w:ilvl w:val="0"/>
          <w:numId w:val="7"/>
        </w:numPr>
        <w:rPr>
          <w:rFonts w:ascii="宋体" w:hAnsi="宋体" w:cs="宋体"/>
          <w:color w:val="auto"/>
          <w:highlight w:val="none"/>
        </w:rPr>
      </w:pPr>
      <w:r>
        <w:rPr>
          <w:rFonts w:hint="eastAsia" w:ascii="宋体" w:hAnsi="宋体" w:cs="宋体"/>
          <w:color w:val="auto"/>
          <w:highlight w:val="none"/>
        </w:rPr>
        <w:t>重点时期（含节假日）对全院机房环境及设备巡查</w:t>
      </w:r>
    </w:p>
    <w:p w14:paraId="64082F31">
      <w:pPr>
        <w:ind w:firstLine="480" w:firstLineChars="0"/>
        <w:rPr>
          <w:rFonts w:ascii="宋体" w:hAnsi="宋体" w:cs="宋体"/>
          <w:color w:val="auto"/>
          <w:highlight w:val="none"/>
        </w:rPr>
      </w:pPr>
      <w:r>
        <w:rPr>
          <w:rFonts w:hint="eastAsia" w:ascii="宋体" w:hAnsi="宋体" w:cs="宋体"/>
          <w:color w:val="auto"/>
          <w:highlight w:val="none"/>
        </w:rPr>
        <w:t>重点时期（含节假日）对全院机房进行巡查，并记录机房情况（包含通风、设备情况、门禁情况、卫生情况等），发现问题及时处理或汇报。</w:t>
      </w:r>
    </w:p>
    <w:p w14:paraId="290760D1">
      <w:pPr>
        <w:rPr>
          <w:rFonts w:ascii="宋体" w:hAnsi="宋体" w:cs="宋体"/>
          <w:color w:val="auto"/>
          <w:highlight w:val="none"/>
        </w:rPr>
      </w:pPr>
    </w:p>
    <w:p w14:paraId="1B19E8A0">
      <w:pPr>
        <w:pStyle w:val="4"/>
        <w:spacing w:before="156" w:after="156"/>
        <w:ind w:firstLine="422"/>
        <w:rPr>
          <w:rFonts w:cs="宋体"/>
          <w:color w:val="auto"/>
          <w:sz w:val="21"/>
          <w:szCs w:val="21"/>
          <w:highlight w:val="none"/>
        </w:rPr>
      </w:pPr>
      <w:r>
        <w:rPr>
          <w:rFonts w:hint="eastAsia" w:cs="宋体"/>
          <w:color w:val="auto"/>
          <w:sz w:val="21"/>
          <w:szCs w:val="21"/>
          <w:highlight w:val="none"/>
        </w:rPr>
        <w:t>3.8信息安全管理要求</w:t>
      </w:r>
    </w:p>
    <w:p w14:paraId="4BFE0C87">
      <w:pPr>
        <w:rPr>
          <w:rFonts w:ascii="宋体" w:hAnsi="宋体" w:cs="宋体"/>
          <w:color w:val="auto"/>
          <w:highlight w:val="none"/>
        </w:rPr>
      </w:pPr>
      <w:r>
        <w:rPr>
          <w:rFonts w:hint="eastAsia" w:ascii="宋体" w:hAnsi="宋体" w:cs="宋体"/>
          <w:color w:val="auto"/>
          <w:highlight w:val="none"/>
          <w:lang w:eastAsia="zh-CN"/>
        </w:rPr>
        <w:t>1.</w:t>
      </w:r>
      <w:r>
        <w:rPr>
          <w:rFonts w:hint="eastAsia" w:ascii="宋体" w:hAnsi="宋体" w:cs="宋体"/>
          <w:color w:val="auto"/>
          <w:highlight w:val="none"/>
        </w:rPr>
        <w:t>★乙方保证严格保守商业秘密（包括但不限于乙方为医院服务过程中获得的各种文件、报告、技术资料、经营信息、客户信息等），在未取得医院书面同意的情况下，乙方不得以任何方式让任何第三方获知上述秘密。乙方在进行常规维护时，应遵守医院有关管理规定，所涉及医院的商业秘密，均属医院产权，未经医院书面同意，乙方不得以任何形式或介质获取。尊重用户个人隐私，保守医院秘密，泄密造成采购人损失的，乙方将承担由此产生的一切损失和法律责任。（提供承诺函）</w:t>
      </w:r>
    </w:p>
    <w:p w14:paraId="6C337F0B">
      <w:pPr>
        <w:shd w:val="clear" w:color="auto" w:fill="FFFFFF"/>
        <w:rPr>
          <w:rFonts w:ascii="宋体" w:hAnsi="宋体" w:cs="宋体"/>
          <w:color w:val="auto"/>
          <w:highlight w:val="none"/>
        </w:rPr>
      </w:pPr>
      <w:r>
        <w:rPr>
          <w:rFonts w:hint="eastAsia" w:ascii="宋体" w:hAnsi="宋体" w:cs="宋体"/>
          <w:color w:val="auto"/>
          <w:highlight w:val="none"/>
          <w:lang w:eastAsia="zh-CN"/>
        </w:rPr>
        <w:t>2.</w:t>
      </w:r>
      <w:r>
        <w:rPr>
          <w:rFonts w:hint="eastAsia" w:ascii="宋体" w:hAnsi="宋体" w:cs="宋体"/>
          <w:color w:val="auto"/>
          <w:highlight w:val="none"/>
        </w:rPr>
        <w:t>乙方需提供桌面安全管理系统。由于本项目运维管理终端种类众多数量庞大，实现安全事件采集、汇总及处理规范化。对终端设备及使用的全生命周期管理等。（所提供的系统需提供相关软件著作权证书复印件或购入使用权的合同等证明文件。）</w:t>
      </w:r>
    </w:p>
    <w:p w14:paraId="0E9DA756">
      <w:pPr>
        <w:rPr>
          <w:rFonts w:ascii="宋体" w:hAnsi="宋体" w:cs="宋体"/>
          <w:color w:val="auto"/>
          <w:highlight w:val="none"/>
        </w:rPr>
      </w:pPr>
    </w:p>
    <w:p w14:paraId="512935BB">
      <w:pPr>
        <w:pStyle w:val="4"/>
        <w:spacing w:before="156" w:after="156"/>
        <w:ind w:firstLine="422"/>
        <w:rPr>
          <w:rFonts w:cs="宋体"/>
          <w:color w:val="auto"/>
          <w:sz w:val="21"/>
          <w:szCs w:val="21"/>
          <w:highlight w:val="none"/>
        </w:rPr>
      </w:pPr>
      <w:r>
        <w:rPr>
          <w:rFonts w:hint="eastAsia" w:cs="宋体"/>
          <w:color w:val="auto"/>
          <w:sz w:val="21"/>
          <w:szCs w:val="21"/>
          <w:highlight w:val="none"/>
        </w:rPr>
        <w:t>3.9科学管理运营要求</w:t>
      </w:r>
    </w:p>
    <w:p w14:paraId="33C01EB4">
      <w:pPr>
        <w:pStyle w:val="2"/>
        <w:ind w:firstLine="422"/>
        <w:rPr>
          <w:rFonts w:ascii="宋体" w:hAnsi="宋体" w:cs="宋体"/>
          <w:color w:val="auto"/>
          <w:highlight w:val="none"/>
        </w:rPr>
      </w:pPr>
      <w:r>
        <w:rPr>
          <w:rFonts w:hint="eastAsia" w:ascii="宋体" w:hAnsi="宋体" w:cs="宋体"/>
          <w:b/>
          <w:color w:val="auto"/>
          <w:highlight w:val="none"/>
        </w:rPr>
        <w:t>▲</w:t>
      </w:r>
      <w:r>
        <w:rPr>
          <w:rFonts w:hint="eastAsia" w:ascii="宋体" w:hAnsi="宋体" w:cs="宋体"/>
          <w:color w:val="auto"/>
          <w:highlight w:val="none"/>
        </w:rPr>
        <w:t>院内现有监控平台要进行IT管理设置，因此要求乙方具备操作该平台能力，</w:t>
      </w:r>
      <w:r>
        <w:rPr>
          <w:color w:val="auto"/>
          <w:highlight w:val="none"/>
        </w:rPr>
        <w:t>承担工单登记、分派与跟踪闭环工作。软件平台公司负责培训乙方工程师至熟练操作，培训费用双方</w:t>
      </w:r>
      <w:r>
        <w:rPr>
          <w:rFonts w:hint="eastAsia"/>
          <w:color w:val="auto"/>
          <w:highlight w:val="none"/>
        </w:rPr>
        <w:t>自</w:t>
      </w:r>
      <w:r>
        <w:rPr>
          <w:color w:val="auto"/>
          <w:highlight w:val="none"/>
        </w:rPr>
        <w:t>行协商。培训完成后，乙方以现场</w:t>
      </w:r>
      <w:r>
        <w:rPr>
          <w:rFonts w:hint="eastAsia"/>
          <w:color w:val="auto"/>
          <w:highlight w:val="none"/>
        </w:rPr>
        <w:t>服务的</w:t>
      </w:r>
      <w:r>
        <w:rPr>
          <w:color w:val="auto"/>
          <w:highlight w:val="none"/>
        </w:rPr>
        <w:t>模式，全面负责终端日常巡检、工单登记、故障排查与处理闭环，并支撑平台数据查询及服务交付。</w:t>
      </w:r>
    </w:p>
    <w:p w14:paraId="7A277D9B">
      <w:pPr>
        <w:ind w:firstLineChars="0"/>
        <w:rPr>
          <w:color w:val="auto"/>
          <w:highlight w:val="none"/>
        </w:rPr>
      </w:pPr>
      <w:r>
        <w:rPr>
          <w:rFonts w:hint="eastAsia" w:ascii="宋体" w:hAnsi="宋体" w:cs="宋体"/>
          <w:color w:val="auto"/>
          <w:highlight w:val="none"/>
        </w:rPr>
        <w:t>★提供</w:t>
      </w:r>
      <w:r>
        <w:rPr>
          <w:b/>
          <w:bCs/>
          <w:color w:val="auto"/>
          <w:highlight w:val="none"/>
        </w:rPr>
        <w:t>系统基础架构与终端设备关系管理软件</w:t>
      </w:r>
    </w:p>
    <w:p w14:paraId="580A9B7E">
      <w:pPr>
        <w:pStyle w:val="2"/>
        <w:rPr>
          <w:color w:val="auto"/>
          <w:highlight w:val="none"/>
        </w:rPr>
      </w:pPr>
      <w:r>
        <w:rPr>
          <w:color w:val="auto"/>
          <w:highlight w:val="none"/>
        </w:rPr>
        <w:t>系统</w:t>
      </w:r>
      <w:r>
        <w:rPr>
          <w:rFonts w:hint="eastAsia"/>
          <w:color w:val="auto"/>
          <w:highlight w:val="none"/>
        </w:rPr>
        <w:t>需</w:t>
      </w:r>
      <w:r>
        <w:rPr>
          <w:color w:val="auto"/>
          <w:highlight w:val="none"/>
        </w:rPr>
        <w:t>通过可视化方式建立线路资源及桌面终端设备的分布图管理，生成线缆与端口链路图，支持链路分析及故障快速定位。持续对弱电间网线与终端线路进行清点，形成线路与终端对应表，自动生成拓扑图，并更新标签标识，清晰呈现设备与机柜对应关系，记录资源使用及连接情况，</w:t>
      </w:r>
      <w:r>
        <w:rPr>
          <w:rFonts w:hint="eastAsia"/>
          <w:color w:val="auto"/>
          <w:highlight w:val="none"/>
        </w:rPr>
        <w:t>根据需要</w:t>
      </w:r>
      <w:r>
        <w:rPr>
          <w:color w:val="auto"/>
          <w:highlight w:val="none"/>
        </w:rPr>
        <w:t>定期输出季度报表。</w:t>
      </w:r>
    </w:p>
    <w:p w14:paraId="7AA1F4D3">
      <w:pPr>
        <w:ind w:firstLineChars="0"/>
        <w:rPr>
          <w:rFonts w:ascii="宋体" w:hAnsi="宋体" w:cs="宋体"/>
          <w:color w:val="auto"/>
          <w:highlight w:val="none"/>
        </w:rPr>
      </w:pPr>
      <w:r>
        <w:rPr>
          <w:color w:val="auto"/>
          <w:highlight w:val="none"/>
        </w:rPr>
        <w:t>系统功能要求：实现物理设备全生命周期管理，含型号、厂商、位置、维保状态等信息，支持资产盘点；管理光缆、ODF架、管井等通信资源，记录配纤信息与路由；支持资产自动发现与拓扑自生成，提供链路长度测算、端口利用率分析及故障告警；结合GIS地图实现设施标注与可视化管理。通过持续更新维护，系统有效提升线路资源管理与故障处理效率，实现立体式、透明化的运行管理，支撑光纤资源清晰梳理与高效运维。</w:t>
      </w:r>
      <w:r>
        <w:rPr>
          <w:rFonts w:hint="eastAsia" w:ascii="宋体" w:hAnsi="宋体" w:cs="宋体"/>
          <w:color w:val="auto"/>
          <w:highlight w:val="none"/>
        </w:rPr>
        <w:t>（提供系统截图及供甲方使用承诺函。）</w:t>
      </w:r>
    </w:p>
    <w:p w14:paraId="2AED62E1">
      <w:pPr>
        <w:pStyle w:val="4"/>
        <w:spacing w:before="156" w:after="156"/>
        <w:ind w:firstLine="422"/>
        <w:rPr>
          <w:rFonts w:cs="宋体"/>
          <w:color w:val="auto"/>
          <w:sz w:val="21"/>
          <w:szCs w:val="21"/>
          <w:highlight w:val="none"/>
        </w:rPr>
      </w:pPr>
      <w:r>
        <w:rPr>
          <w:rFonts w:hint="eastAsia" w:cs="宋体"/>
          <w:color w:val="auto"/>
          <w:sz w:val="21"/>
          <w:szCs w:val="21"/>
          <w:highlight w:val="none"/>
        </w:rPr>
        <w:t>3.10终端设备备件需求</w:t>
      </w:r>
    </w:p>
    <w:p w14:paraId="6FF71B51">
      <w:pPr>
        <w:pStyle w:val="22"/>
        <w:numPr>
          <w:ilvl w:val="0"/>
          <w:numId w:val="0"/>
        </w:numPr>
        <w:ind w:firstLine="420" w:firstLineChars="200"/>
        <w:rPr>
          <w:rFonts w:ascii="宋体" w:hAnsi="宋体" w:cs="宋体"/>
          <w:color w:val="auto"/>
          <w:highlight w:val="none"/>
        </w:rPr>
      </w:pPr>
      <w:r>
        <w:rPr>
          <w:rFonts w:hint="eastAsia" w:ascii="宋体" w:hAnsi="宋体" w:cs="宋体"/>
          <w:color w:val="auto"/>
          <w:highlight w:val="none"/>
        </w:rPr>
        <w:t>乙方必须承诺在项目所在地具有备件库，同时需要在项目现场设置应急备机备件库，并确保长期保持充足的备机备件存量，备件清单包含但不限于下表。（需提供承诺函并加盖投标人公章，格式自拟）</w:t>
      </w:r>
    </w:p>
    <w:tbl>
      <w:tblPr>
        <w:tblStyle w:val="16"/>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523"/>
        <w:gridCol w:w="2667"/>
        <w:gridCol w:w="1559"/>
      </w:tblGrid>
      <w:tr w14:paraId="681A2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94" w:type="dxa"/>
            <w:gridSpan w:val="2"/>
          </w:tcPr>
          <w:p w14:paraId="75DFDA80">
            <w:pPr>
              <w:pStyle w:val="22"/>
              <w:widowControl w:val="0"/>
              <w:numPr>
                <w:ilvl w:val="255"/>
                <w:numId w:val="0"/>
              </w:numPr>
              <w:jc w:val="center"/>
              <w:rPr>
                <w:rFonts w:ascii="宋体" w:hAnsi="宋体" w:cs="宋体"/>
                <w:color w:val="auto"/>
                <w:highlight w:val="none"/>
              </w:rPr>
            </w:pPr>
            <w:r>
              <w:rPr>
                <w:rFonts w:hint="eastAsia" w:ascii="宋体" w:hAnsi="宋体" w:cs="宋体"/>
                <w:color w:val="auto"/>
                <w:highlight w:val="none"/>
              </w:rPr>
              <w:t>类型</w:t>
            </w:r>
          </w:p>
        </w:tc>
        <w:tc>
          <w:tcPr>
            <w:tcW w:w="2667" w:type="dxa"/>
          </w:tcPr>
          <w:p w14:paraId="27CE45E1">
            <w:pPr>
              <w:pStyle w:val="22"/>
              <w:widowControl w:val="0"/>
              <w:numPr>
                <w:ilvl w:val="255"/>
                <w:numId w:val="0"/>
              </w:numPr>
              <w:ind w:firstLine="420"/>
              <w:jc w:val="center"/>
              <w:rPr>
                <w:rFonts w:ascii="宋体" w:hAnsi="宋体" w:cs="宋体"/>
                <w:color w:val="auto"/>
                <w:highlight w:val="none"/>
              </w:rPr>
            </w:pPr>
            <w:r>
              <w:rPr>
                <w:rFonts w:hint="eastAsia" w:ascii="宋体" w:hAnsi="宋体" w:cs="宋体"/>
                <w:color w:val="auto"/>
                <w:highlight w:val="none"/>
              </w:rPr>
              <w:t>参考型号（同等档次或以上）</w:t>
            </w:r>
          </w:p>
        </w:tc>
        <w:tc>
          <w:tcPr>
            <w:tcW w:w="1559" w:type="dxa"/>
          </w:tcPr>
          <w:p w14:paraId="2F5B9970">
            <w:pPr>
              <w:pStyle w:val="22"/>
              <w:widowControl w:val="0"/>
              <w:numPr>
                <w:ilvl w:val="255"/>
                <w:numId w:val="0"/>
              </w:numPr>
              <w:jc w:val="both"/>
              <w:rPr>
                <w:rFonts w:ascii="宋体" w:hAnsi="宋体" w:cs="宋体"/>
                <w:color w:val="auto"/>
                <w:highlight w:val="none"/>
              </w:rPr>
            </w:pPr>
            <w:r>
              <w:rPr>
                <w:rFonts w:hint="eastAsia" w:ascii="宋体" w:hAnsi="宋体" w:cs="宋体"/>
                <w:color w:val="auto"/>
                <w:highlight w:val="none"/>
              </w:rPr>
              <w:t>数量（台/套）</w:t>
            </w:r>
          </w:p>
        </w:tc>
      </w:tr>
      <w:tr w14:paraId="7EDE9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Merge w:val="restart"/>
            <w:vAlign w:val="center"/>
          </w:tcPr>
          <w:p w14:paraId="4EAC006A">
            <w:pPr>
              <w:pStyle w:val="22"/>
              <w:widowControl w:val="0"/>
              <w:numPr>
                <w:ilvl w:val="255"/>
                <w:numId w:val="0"/>
              </w:numPr>
              <w:jc w:val="center"/>
              <w:rPr>
                <w:rFonts w:ascii="宋体" w:hAnsi="宋体" w:cs="宋体"/>
                <w:color w:val="auto"/>
                <w:highlight w:val="none"/>
              </w:rPr>
            </w:pPr>
            <w:r>
              <w:rPr>
                <w:rFonts w:hint="eastAsia" w:ascii="宋体" w:hAnsi="宋体" w:cs="宋体"/>
                <w:color w:val="auto"/>
                <w:highlight w:val="none"/>
              </w:rPr>
              <w:t>电脑</w:t>
            </w:r>
          </w:p>
        </w:tc>
        <w:tc>
          <w:tcPr>
            <w:tcW w:w="2523" w:type="dxa"/>
          </w:tcPr>
          <w:p w14:paraId="3798CFC1">
            <w:pPr>
              <w:pStyle w:val="22"/>
              <w:widowControl w:val="0"/>
              <w:numPr>
                <w:ilvl w:val="255"/>
                <w:numId w:val="0"/>
              </w:numPr>
              <w:jc w:val="both"/>
              <w:rPr>
                <w:rFonts w:ascii="宋体" w:hAnsi="宋体" w:cs="宋体"/>
                <w:color w:val="auto"/>
                <w:highlight w:val="none"/>
              </w:rPr>
            </w:pPr>
            <w:r>
              <w:rPr>
                <w:rFonts w:hint="eastAsia" w:ascii="宋体" w:hAnsi="宋体" w:cs="宋体"/>
                <w:color w:val="auto"/>
                <w:highlight w:val="none"/>
              </w:rPr>
              <w:t>普通工作站计算机（含显示屏）</w:t>
            </w:r>
          </w:p>
        </w:tc>
        <w:tc>
          <w:tcPr>
            <w:tcW w:w="2667" w:type="dxa"/>
          </w:tcPr>
          <w:p w14:paraId="7C66F281">
            <w:pPr>
              <w:pStyle w:val="22"/>
              <w:widowControl w:val="0"/>
              <w:numPr>
                <w:ilvl w:val="255"/>
                <w:numId w:val="0"/>
              </w:numPr>
              <w:jc w:val="both"/>
              <w:rPr>
                <w:rFonts w:ascii="宋体" w:hAnsi="宋体" w:cs="宋体"/>
                <w:color w:val="auto"/>
                <w:highlight w:val="none"/>
              </w:rPr>
            </w:pPr>
            <w:r>
              <w:rPr>
                <w:rFonts w:hint="eastAsia" w:ascii="宋体" w:hAnsi="宋体" w:cs="宋体"/>
                <w:color w:val="auto"/>
                <w:highlight w:val="none"/>
              </w:rPr>
              <w:t>联想ThinkCentre M730t</w:t>
            </w:r>
          </w:p>
        </w:tc>
        <w:tc>
          <w:tcPr>
            <w:tcW w:w="1559" w:type="dxa"/>
          </w:tcPr>
          <w:p w14:paraId="14724570">
            <w:pPr>
              <w:pStyle w:val="22"/>
              <w:widowControl w:val="0"/>
              <w:numPr>
                <w:ilvl w:val="255"/>
                <w:numId w:val="0"/>
              </w:numPr>
              <w:jc w:val="both"/>
              <w:rPr>
                <w:rFonts w:ascii="宋体" w:hAnsi="宋体" w:cs="宋体"/>
                <w:color w:val="auto"/>
                <w:highlight w:val="none"/>
              </w:rPr>
            </w:pPr>
            <w:r>
              <w:rPr>
                <w:rFonts w:hint="eastAsia" w:ascii="宋体" w:hAnsi="宋体" w:cs="宋体"/>
                <w:color w:val="auto"/>
                <w:highlight w:val="none"/>
              </w:rPr>
              <w:t>4</w:t>
            </w:r>
          </w:p>
        </w:tc>
      </w:tr>
      <w:tr w14:paraId="328A6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Merge w:val="continue"/>
            <w:vAlign w:val="center"/>
          </w:tcPr>
          <w:p w14:paraId="3C27C6EE">
            <w:pPr>
              <w:pStyle w:val="22"/>
              <w:widowControl w:val="0"/>
              <w:numPr>
                <w:ilvl w:val="255"/>
                <w:numId w:val="0"/>
              </w:numPr>
              <w:jc w:val="center"/>
              <w:rPr>
                <w:rFonts w:ascii="宋体" w:hAnsi="宋体" w:cs="宋体"/>
                <w:color w:val="auto"/>
                <w:highlight w:val="none"/>
              </w:rPr>
            </w:pPr>
          </w:p>
        </w:tc>
        <w:tc>
          <w:tcPr>
            <w:tcW w:w="2523" w:type="dxa"/>
          </w:tcPr>
          <w:p w14:paraId="5D076051">
            <w:pPr>
              <w:pStyle w:val="22"/>
              <w:widowControl w:val="0"/>
              <w:numPr>
                <w:ilvl w:val="255"/>
                <w:numId w:val="0"/>
              </w:numPr>
              <w:jc w:val="both"/>
              <w:rPr>
                <w:rFonts w:ascii="宋体" w:hAnsi="宋体" w:cs="宋体"/>
                <w:color w:val="auto"/>
                <w:highlight w:val="none"/>
              </w:rPr>
            </w:pPr>
            <w:r>
              <w:rPr>
                <w:rFonts w:hint="eastAsia" w:ascii="宋体" w:hAnsi="宋体" w:cs="宋体"/>
                <w:color w:val="auto"/>
                <w:highlight w:val="none"/>
              </w:rPr>
              <w:t>微型工作站计算机（含显示屏）</w:t>
            </w:r>
          </w:p>
        </w:tc>
        <w:tc>
          <w:tcPr>
            <w:tcW w:w="2667" w:type="dxa"/>
          </w:tcPr>
          <w:p w14:paraId="7F06E4AE">
            <w:pPr>
              <w:pStyle w:val="22"/>
              <w:widowControl w:val="0"/>
              <w:numPr>
                <w:ilvl w:val="255"/>
                <w:numId w:val="0"/>
              </w:numPr>
              <w:jc w:val="both"/>
              <w:rPr>
                <w:rFonts w:ascii="宋体" w:hAnsi="宋体" w:cs="宋体"/>
                <w:color w:val="auto"/>
                <w:highlight w:val="none"/>
              </w:rPr>
            </w:pPr>
            <w:r>
              <w:rPr>
                <w:rFonts w:hint="eastAsia" w:ascii="宋体" w:hAnsi="宋体" w:cs="宋体"/>
                <w:color w:val="auto"/>
                <w:highlight w:val="none"/>
              </w:rPr>
              <w:t>联想ThinkCentre M730q</w:t>
            </w:r>
          </w:p>
        </w:tc>
        <w:tc>
          <w:tcPr>
            <w:tcW w:w="1559" w:type="dxa"/>
          </w:tcPr>
          <w:p w14:paraId="467FDE92">
            <w:pPr>
              <w:pStyle w:val="22"/>
              <w:widowControl w:val="0"/>
              <w:numPr>
                <w:ilvl w:val="255"/>
                <w:numId w:val="0"/>
              </w:numPr>
              <w:jc w:val="both"/>
              <w:rPr>
                <w:rFonts w:ascii="宋体" w:hAnsi="宋体" w:cs="宋体"/>
                <w:color w:val="auto"/>
                <w:highlight w:val="none"/>
              </w:rPr>
            </w:pPr>
            <w:r>
              <w:rPr>
                <w:rFonts w:hint="eastAsia" w:ascii="宋体" w:hAnsi="宋体" w:cs="宋体"/>
                <w:color w:val="auto"/>
                <w:highlight w:val="none"/>
              </w:rPr>
              <w:t>2</w:t>
            </w:r>
          </w:p>
        </w:tc>
      </w:tr>
      <w:tr w14:paraId="393E7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Merge w:val="continue"/>
            <w:vAlign w:val="center"/>
          </w:tcPr>
          <w:p w14:paraId="03BE91E0">
            <w:pPr>
              <w:pStyle w:val="22"/>
              <w:widowControl w:val="0"/>
              <w:numPr>
                <w:ilvl w:val="255"/>
                <w:numId w:val="0"/>
              </w:numPr>
              <w:jc w:val="center"/>
              <w:rPr>
                <w:rFonts w:ascii="宋体" w:hAnsi="宋体" w:cs="宋体"/>
                <w:color w:val="auto"/>
                <w:highlight w:val="none"/>
              </w:rPr>
            </w:pPr>
          </w:p>
        </w:tc>
        <w:tc>
          <w:tcPr>
            <w:tcW w:w="2523" w:type="dxa"/>
          </w:tcPr>
          <w:p w14:paraId="40EF02A3">
            <w:pPr>
              <w:pStyle w:val="22"/>
              <w:widowControl w:val="0"/>
              <w:numPr>
                <w:ilvl w:val="255"/>
                <w:numId w:val="0"/>
              </w:numPr>
              <w:jc w:val="both"/>
              <w:rPr>
                <w:rFonts w:ascii="宋体" w:hAnsi="宋体" w:cs="宋体"/>
                <w:color w:val="auto"/>
                <w:highlight w:val="none"/>
              </w:rPr>
            </w:pPr>
            <w:r>
              <w:rPr>
                <w:rFonts w:hint="eastAsia" w:ascii="宋体" w:hAnsi="宋体" w:cs="宋体"/>
                <w:color w:val="auto"/>
                <w:highlight w:val="none"/>
              </w:rPr>
              <w:t>图文工作站（含显示屏）</w:t>
            </w:r>
          </w:p>
        </w:tc>
        <w:tc>
          <w:tcPr>
            <w:tcW w:w="2667" w:type="dxa"/>
          </w:tcPr>
          <w:p w14:paraId="2C44ECE6">
            <w:pPr>
              <w:pStyle w:val="22"/>
              <w:widowControl w:val="0"/>
              <w:numPr>
                <w:ilvl w:val="255"/>
                <w:numId w:val="0"/>
              </w:numPr>
              <w:jc w:val="both"/>
              <w:rPr>
                <w:rFonts w:ascii="宋体" w:hAnsi="宋体" w:cs="宋体"/>
                <w:color w:val="auto"/>
                <w:highlight w:val="none"/>
              </w:rPr>
            </w:pPr>
            <w:r>
              <w:rPr>
                <w:rFonts w:hint="eastAsia" w:ascii="宋体" w:hAnsi="宋体" w:cs="宋体"/>
                <w:color w:val="auto"/>
                <w:highlight w:val="none"/>
              </w:rPr>
              <w:t>HP 880G9</w:t>
            </w:r>
          </w:p>
        </w:tc>
        <w:tc>
          <w:tcPr>
            <w:tcW w:w="1559" w:type="dxa"/>
          </w:tcPr>
          <w:p w14:paraId="6B410A8B">
            <w:pPr>
              <w:pStyle w:val="22"/>
              <w:widowControl w:val="0"/>
              <w:numPr>
                <w:ilvl w:val="255"/>
                <w:numId w:val="0"/>
              </w:numPr>
              <w:jc w:val="both"/>
              <w:rPr>
                <w:rFonts w:ascii="宋体" w:hAnsi="宋体" w:cs="宋体"/>
                <w:color w:val="auto"/>
                <w:highlight w:val="none"/>
              </w:rPr>
            </w:pPr>
            <w:r>
              <w:rPr>
                <w:rFonts w:hint="eastAsia" w:ascii="宋体" w:hAnsi="宋体" w:cs="宋体"/>
                <w:color w:val="auto"/>
                <w:highlight w:val="none"/>
              </w:rPr>
              <w:t>1</w:t>
            </w:r>
          </w:p>
        </w:tc>
      </w:tr>
      <w:tr w14:paraId="2C73E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1771" w:type="dxa"/>
          </w:tcPr>
          <w:p w14:paraId="2BB2EA55">
            <w:pPr>
              <w:pStyle w:val="22"/>
              <w:widowControl w:val="0"/>
              <w:numPr>
                <w:ilvl w:val="255"/>
                <w:numId w:val="0"/>
              </w:numPr>
              <w:jc w:val="both"/>
              <w:rPr>
                <w:rFonts w:ascii="宋体" w:hAnsi="宋体" w:cs="宋体"/>
                <w:color w:val="auto"/>
                <w:highlight w:val="none"/>
              </w:rPr>
            </w:pPr>
            <w:r>
              <w:rPr>
                <w:rFonts w:hint="eastAsia" w:ascii="宋体" w:hAnsi="宋体" w:cs="宋体"/>
                <w:color w:val="auto"/>
                <w:highlight w:val="none"/>
              </w:rPr>
              <w:t>戴尔笔记本电脑</w:t>
            </w:r>
          </w:p>
        </w:tc>
        <w:tc>
          <w:tcPr>
            <w:tcW w:w="2523" w:type="dxa"/>
          </w:tcPr>
          <w:p w14:paraId="09D47EDF">
            <w:pPr>
              <w:pStyle w:val="22"/>
              <w:widowControl w:val="0"/>
              <w:numPr>
                <w:ilvl w:val="255"/>
                <w:numId w:val="0"/>
              </w:numPr>
              <w:jc w:val="both"/>
              <w:rPr>
                <w:rFonts w:ascii="宋体" w:hAnsi="宋体" w:cs="宋体"/>
                <w:color w:val="auto"/>
                <w:highlight w:val="none"/>
              </w:rPr>
            </w:pPr>
            <w:r>
              <w:rPr>
                <w:rFonts w:hint="eastAsia" w:ascii="宋体" w:hAnsi="宋体" w:cs="宋体"/>
                <w:color w:val="auto"/>
                <w:highlight w:val="none"/>
              </w:rPr>
              <w:t>戴尔Latitude</w:t>
            </w:r>
          </w:p>
        </w:tc>
        <w:tc>
          <w:tcPr>
            <w:tcW w:w="2667" w:type="dxa"/>
          </w:tcPr>
          <w:p w14:paraId="3813E922">
            <w:pPr>
              <w:pStyle w:val="22"/>
              <w:widowControl w:val="0"/>
              <w:numPr>
                <w:ilvl w:val="255"/>
                <w:numId w:val="0"/>
              </w:numPr>
              <w:jc w:val="both"/>
              <w:rPr>
                <w:rFonts w:ascii="宋体" w:hAnsi="宋体" w:cs="宋体"/>
                <w:color w:val="auto"/>
                <w:highlight w:val="none"/>
              </w:rPr>
            </w:pPr>
            <w:r>
              <w:rPr>
                <w:rFonts w:hint="eastAsia" w:ascii="宋体" w:hAnsi="宋体" w:cs="宋体"/>
                <w:color w:val="auto"/>
                <w:highlight w:val="none"/>
                <w:lang w:eastAsia="zh-CN"/>
              </w:rPr>
              <w:t>Dell</w:t>
            </w:r>
            <w:r>
              <w:rPr>
                <w:rFonts w:hint="eastAsia" w:ascii="宋体" w:hAnsi="宋体" w:cs="宋体"/>
                <w:color w:val="auto"/>
                <w:highlight w:val="none"/>
              </w:rPr>
              <w:t xml:space="preserve"> Latitude 3420</w:t>
            </w:r>
          </w:p>
        </w:tc>
        <w:tc>
          <w:tcPr>
            <w:tcW w:w="1559" w:type="dxa"/>
          </w:tcPr>
          <w:p w14:paraId="6EE39910">
            <w:pPr>
              <w:pStyle w:val="22"/>
              <w:widowControl w:val="0"/>
              <w:numPr>
                <w:ilvl w:val="255"/>
                <w:numId w:val="0"/>
              </w:numPr>
              <w:jc w:val="both"/>
              <w:rPr>
                <w:rFonts w:ascii="宋体" w:hAnsi="宋体" w:cs="宋体"/>
                <w:color w:val="auto"/>
                <w:highlight w:val="none"/>
              </w:rPr>
            </w:pPr>
            <w:r>
              <w:rPr>
                <w:rFonts w:hint="eastAsia" w:ascii="宋体" w:hAnsi="宋体" w:cs="宋体"/>
                <w:color w:val="auto"/>
                <w:highlight w:val="none"/>
              </w:rPr>
              <w:t>1</w:t>
            </w:r>
          </w:p>
        </w:tc>
      </w:tr>
      <w:tr w14:paraId="6B8E0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Merge w:val="restart"/>
            <w:vAlign w:val="center"/>
          </w:tcPr>
          <w:p w14:paraId="7494C6AF">
            <w:pPr>
              <w:pStyle w:val="22"/>
              <w:widowControl w:val="0"/>
              <w:numPr>
                <w:ilvl w:val="255"/>
                <w:numId w:val="0"/>
              </w:numPr>
              <w:jc w:val="center"/>
              <w:rPr>
                <w:rFonts w:ascii="宋体" w:hAnsi="宋体" w:cs="宋体"/>
                <w:color w:val="auto"/>
                <w:highlight w:val="none"/>
              </w:rPr>
            </w:pPr>
            <w:r>
              <w:rPr>
                <w:rFonts w:hint="eastAsia" w:ascii="宋体" w:hAnsi="宋体" w:cs="宋体"/>
                <w:color w:val="auto"/>
                <w:highlight w:val="none"/>
              </w:rPr>
              <w:t>打印机</w:t>
            </w:r>
          </w:p>
        </w:tc>
        <w:tc>
          <w:tcPr>
            <w:tcW w:w="2523" w:type="dxa"/>
          </w:tcPr>
          <w:p w14:paraId="0A972C80">
            <w:pPr>
              <w:pStyle w:val="22"/>
              <w:widowControl w:val="0"/>
              <w:numPr>
                <w:ilvl w:val="255"/>
                <w:numId w:val="0"/>
              </w:numPr>
              <w:jc w:val="both"/>
              <w:rPr>
                <w:rFonts w:ascii="宋体" w:hAnsi="宋体" w:cs="宋体"/>
                <w:color w:val="auto"/>
                <w:highlight w:val="none"/>
              </w:rPr>
            </w:pPr>
            <w:r>
              <w:rPr>
                <w:rFonts w:hint="eastAsia" w:ascii="宋体" w:hAnsi="宋体" w:cs="宋体"/>
                <w:color w:val="auto"/>
                <w:highlight w:val="none"/>
              </w:rPr>
              <w:t>80列针式打印机</w:t>
            </w:r>
          </w:p>
        </w:tc>
        <w:tc>
          <w:tcPr>
            <w:tcW w:w="2667" w:type="dxa"/>
          </w:tcPr>
          <w:p w14:paraId="6492E6F7">
            <w:pPr>
              <w:pStyle w:val="22"/>
              <w:widowControl w:val="0"/>
              <w:numPr>
                <w:ilvl w:val="255"/>
                <w:numId w:val="0"/>
              </w:numPr>
              <w:jc w:val="both"/>
              <w:rPr>
                <w:rFonts w:ascii="宋体" w:hAnsi="宋体" w:cs="宋体"/>
                <w:color w:val="auto"/>
                <w:highlight w:val="none"/>
              </w:rPr>
            </w:pPr>
            <w:r>
              <w:rPr>
                <w:rFonts w:hint="eastAsia" w:ascii="宋体" w:hAnsi="宋体" w:cs="宋体"/>
                <w:color w:val="auto"/>
                <w:highlight w:val="none"/>
              </w:rPr>
              <w:t>得实DS-1700II+针式打印机</w:t>
            </w:r>
          </w:p>
        </w:tc>
        <w:tc>
          <w:tcPr>
            <w:tcW w:w="1559" w:type="dxa"/>
          </w:tcPr>
          <w:p w14:paraId="72B381F8">
            <w:pPr>
              <w:pStyle w:val="22"/>
              <w:widowControl w:val="0"/>
              <w:numPr>
                <w:ilvl w:val="255"/>
                <w:numId w:val="0"/>
              </w:numPr>
              <w:jc w:val="both"/>
              <w:rPr>
                <w:rFonts w:hint="eastAsia" w:ascii="宋体" w:hAnsi="宋体" w:eastAsia="宋体" w:cs="宋体"/>
                <w:color w:val="auto"/>
                <w:highlight w:val="none"/>
                <w:lang w:eastAsia="zh-CN"/>
              </w:rPr>
            </w:pPr>
            <w:r>
              <w:rPr>
                <w:rFonts w:hint="eastAsia" w:ascii="宋体" w:hAnsi="宋体" w:cs="宋体"/>
                <w:color w:val="auto"/>
                <w:highlight w:val="none"/>
                <w:lang w:val="en-US" w:eastAsia="zh-CN"/>
              </w:rPr>
              <w:t>4</w:t>
            </w:r>
          </w:p>
        </w:tc>
      </w:tr>
      <w:tr w14:paraId="2CC2B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Merge w:val="continue"/>
            <w:vAlign w:val="center"/>
          </w:tcPr>
          <w:p w14:paraId="434A79E4">
            <w:pPr>
              <w:pStyle w:val="22"/>
              <w:widowControl w:val="0"/>
              <w:numPr>
                <w:ilvl w:val="255"/>
                <w:numId w:val="0"/>
              </w:numPr>
              <w:jc w:val="center"/>
              <w:rPr>
                <w:rFonts w:ascii="宋体" w:hAnsi="宋体" w:cs="宋体"/>
                <w:color w:val="auto"/>
                <w:highlight w:val="none"/>
              </w:rPr>
            </w:pPr>
          </w:p>
        </w:tc>
        <w:tc>
          <w:tcPr>
            <w:tcW w:w="2523" w:type="dxa"/>
          </w:tcPr>
          <w:p w14:paraId="1B32F207">
            <w:pPr>
              <w:pStyle w:val="22"/>
              <w:widowControl w:val="0"/>
              <w:numPr>
                <w:ilvl w:val="255"/>
                <w:numId w:val="0"/>
              </w:numPr>
              <w:jc w:val="both"/>
              <w:rPr>
                <w:rFonts w:ascii="宋体" w:hAnsi="宋体" w:cs="宋体"/>
                <w:color w:val="auto"/>
                <w:highlight w:val="none"/>
              </w:rPr>
            </w:pPr>
            <w:r>
              <w:rPr>
                <w:rFonts w:hint="eastAsia" w:ascii="宋体" w:hAnsi="宋体" w:cs="宋体"/>
                <w:color w:val="auto"/>
                <w:highlight w:val="none"/>
              </w:rPr>
              <w:t>A4黑白双面激光打印机</w:t>
            </w:r>
          </w:p>
        </w:tc>
        <w:tc>
          <w:tcPr>
            <w:tcW w:w="2667" w:type="dxa"/>
          </w:tcPr>
          <w:p w14:paraId="0C7BB3FD">
            <w:pPr>
              <w:pStyle w:val="22"/>
              <w:widowControl w:val="0"/>
              <w:numPr>
                <w:ilvl w:val="255"/>
                <w:numId w:val="0"/>
              </w:numPr>
              <w:jc w:val="both"/>
              <w:rPr>
                <w:rFonts w:ascii="宋体" w:hAnsi="宋体" w:cs="宋体"/>
                <w:color w:val="auto"/>
                <w:highlight w:val="none"/>
              </w:rPr>
            </w:pPr>
            <w:r>
              <w:rPr>
                <w:rFonts w:hint="eastAsia" w:ascii="宋体" w:hAnsi="宋体" w:cs="宋体"/>
                <w:color w:val="auto"/>
                <w:highlight w:val="none"/>
              </w:rPr>
              <w:t>HP LaserJet Pro M405dn</w:t>
            </w:r>
          </w:p>
        </w:tc>
        <w:tc>
          <w:tcPr>
            <w:tcW w:w="1559" w:type="dxa"/>
          </w:tcPr>
          <w:p w14:paraId="00B4A24B">
            <w:pPr>
              <w:pStyle w:val="22"/>
              <w:widowControl w:val="0"/>
              <w:numPr>
                <w:ilvl w:val="255"/>
                <w:numId w:val="0"/>
              </w:numPr>
              <w:jc w:val="both"/>
              <w:rPr>
                <w:rFonts w:ascii="宋体" w:hAnsi="宋体" w:cs="宋体"/>
                <w:color w:val="auto"/>
                <w:highlight w:val="none"/>
              </w:rPr>
            </w:pPr>
            <w:r>
              <w:rPr>
                <w:rFonts w:hint="eastAsia" w:ascii="宋体" w:hAnsi="宋体" w:cs="宋体"/>
                <w:color w:val="auto"/>
                <w:highlight w:val="none"/>
              </w:rPr>
              <w:t>5</w:t>
            </w:r>
          </w:p>
        </w:tc>
      </w:tr>
      <w:tr w14:paraId="5B506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Merge w:val="continue"/>
            <w:vAlign w:val="center"/>
          </w:tcPr>
          <w:p w14:paraId="463020AB">
            <w:pPr>
              <w:pStyle w:val="22"/>
              <w:widowControl w:val="0"/>
              <w:numPr>
                <w:ilvl w:val="255"/>
                <w:numId w:val="0"/>
              </w:numPr>
              <w:jc w:val="center"/>
              <w:rPr>
                <w:rFonts w:ascii="宋体" w:hAnsi="宋体" w:cs="宋体"/>
                <w:color w:val="auto"/>
                <w:highlight w:val="none"/>
              </w:rPr>
            </w:pPr>
          </w:p>
        </w:tc>
        <w:tc>
          <w:tcPr>
            <w:tcW w:w="2523" w:type="dxa"/>
          </w:tcPr>
          <w:p w14:paraId="3F620F5C">
            <w:pPr>
              <w:pStyle w:val="22"/>
              <w:widowControl w:val="0"/>
              <w:numPr>
                <w:ilvl w:val="255"/>
                <w:numId w:val="0"/>
              </w:numPr>
              <w:jc w:val="both"/>
              <w:rPr>
                <w:rFonts w:ascii="宋体" w:hAnsi="宋体" w:cs="宋体"/>
                <w:color w:val="auto"/>
                <w:highlight w:val="none"/>
              </w:rPr>
            </w:pPr>
            <w:r>
              <w:rPr>
                <w:rFonts w:hint="eastAsia" w:ascii="宋体" w:hAnsi="宋体" w:cs="宋体"/>
                <w:color w:val="auto"/>
                <w:highlight w:val="none"/>
              </w:rPr>
              <w:t>A4彩色激光多功能一体打印机</w:t>
            </w:r>
          </w:p>
        </w:tc>
        <w:tc>
          <w:tcPr>
            <w:tcW w:w="2667" w:type="dxa"/>
          </w:tcPr>
          <w:p w14:paraId="2FF4064D">
            <w:pPr>
              <w:pStyle w:val="22"/>
              <w:widowControl w:val="0"/>
              <w:numPr>
                <w:ilvl w:val="255"/>
                <w:numId w:val="0"/>
              </w:numPr>
              <w:jc w:val="both"/>
              <w:rPr>
                <w:rFonts w:ascii="宋体" w:hAnsi="宋体" w:cs="宋体"/>
                <w:color w:val="auto"/>
                <w:highlight w:val="none"/>
              </w:rPr>
            </w:pPr>
            <w:r>
              <w:rPr>
                <w:rFonts w:hint="eastAsia" w:ascii="宋体" w:hAnsi="宋体" w:cs="宋体"/>
                <w:color w:val="auto"/>
                <w:highlight w:val="none"/>
              </w:rPr>
              <w:t xml:space="preserve">HP Colour LaserJet Pro M281fdn </w:t>
            </w:r>
          </w:p>
        </w:tc>
        <w:tc>
          <w:tcPr>
            <w:tcW w:w="1559" w:type="dxa"/>
          </w:tcPr>
          <w:p w14:paraId="3FA2958F">
            <w:pPr>
              <w:pStyle w:val="22"/>
              <w:widowControl w:val="0"/>
              <w:numPr>
                <w:ilvl w:val="255"/>
                <w:numId w:val="0"/>
              </w:numPr>
              <w:jc w:val="both"/>
              <w:rPr>
                <w:rFonts w:hint="eastAsia" w:ascii="宋体" w:hAnsi="宋体" w:eastAsia="宋体" w:cs="宋体"/>
                <w:color w:val="auto"/>
                <w:highlight w:val="none"/>
                <w:lang w:eastAsia="zh-CN"/>
              </w:rPr>
            </w:pPr>
            <w:r>
              <w:rPr>
                <w:rFonts w:hint="eastAsia" w:ascii="宋体" w:hAnsi="宋体" w:cs="宋体"/>
                <w:color w:val="auto"/>
                <w:highlight w:val="none"/>
                <w:lang w:val="en-US" w:eastAsia="zh-CN"/>
              </w:rPr>
              <w:t>1</w:t>
            </w:r>
          </w:p>
        </w:tc>
      </w:tr>
      <w:tr w14:paraId="0449C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Merge w:val="continue"/>
            <w:vAlign w:val="center"/>
          </w:tcPr>
          <w:p w14:paraId="361047B8">
            <w:pPr>
              <w:pStyle w:val="22"/>
              <w:widowControl w:val="0"/>
              <w:numPr>
                <w:ilvl w:val="255"/>
                <w:numId w:val="0"/>
              </w:numPr>
              <w:jc w:val="center"/>
              <w:rPr>
                <w:rFonts w:ascii="宋体" w:hAnsi="宋体" w:cs="宋体"/>
                <w:color w:val="auto"/>
                <w:highlight w:val="none"/>
              </w:rPr>
            </w:pPr>
          </w:p>
        </w:tc>
        <w:tc>
          <w:tcPr>
            <w:tcW w:w="2523" w:type="dxa"/>
          </w:tcPr>
          <w:p w14:paraId="299C3ECD">
            <w:pPr>
              <w:pStyle w:val="22"/>
              <w:widowControl w:val="0"/>
              <w:numPr>
                <w:ilvl w:val="255"/>
                <w:numId w:val="0"/>
              </w:numPr>
              <w:jc w:val="both"/>
              <w:rPr>
                <w:rFonts w:ascii="宋体" w:hAnsi="宋体" w:cs="宋体"/>
                <w:color w:val="auto"/>
                <w:highlight w:val="none"/>
              </w:rPr>
            </w:pPr>
            <w:r>
              <w:rPr>
                <w:rFonts w:hint="eastAsia" w:ascii="宋体" w:hAnsi="宋体" w:cs="宋体"/>
                <w:color w:val="auto"/>
                <w:highlight w:val="none"/>
              </w:rPr>
              <w:t>A4黑白激光多功能一体打印机</w:t>
            </w:r>
          </w:p>
        </w:tc>
        <w:tc>
          <w:tcPr>
            <w:tcW w:w="2667" w:type="dxa"/>
          </w:tcPr>
          <w:p w14:paraId="6A2219F5">
            <w:pPr>
              <w:pStyle w:val="22"/>
              <w:widowControl w:val="0"/>
              <w:numPr>
                <w:ilvl w:val="255"/>
                <w:numId w:val="0"/>
              </w:numPr>
              <w:jc w:val="both"/>
              <w:rPr>
                <w:rFonts w:ascii="宋体" w:hAnsi="宋体" w:cs="宋体"/>
                <w:color w:val="auto"/>
                <w:highlight w:val="none"/>
              </w:rPr>
            </w:pPr>
            <w:r>
              <w:rPr>
                <w:rFonts w:hint="eastAsia" w:ascii="宋体" w:hAnsi="宋体" w:cs="宋体"/>
                <w:color w:val="auto"/>
                <w:highlight w:val="none"/>
              </w:rPr>
              <w:t xml:space="preserve">HP LaserJet Pro MFP M329dn </w:t>
            </w:r>
          </w:p>
        </w:tc>
        <w:tc>
          <w:tcPr>
            <w:tcW w:w="1559" w:type="dxa"/>
          </w:tcPr>
          <w:p w14:paraId="394AC3E4">
            <w:pPr>
              <w:pStyle w:val="22"/>
              <w:widowControl w:val="0"/>
              <w:numPr>
                <w:ilvl w:val="255"/>
                <w:numId w:val="0"/>
              </w:numPr>
              <w:jc w:val="both"/>
              <w:rPr>
                <w:rFonts w:hint="eastAsia" w:ascii="宋体" w:hAnsi="宋体" w:eastAsia="宋体" w:cs="宋体"/>
                <w:color w:val="auto"/>
                <w:highlight w:val="none"/>
                <w:lang w:eastAsia="zh-CN"/>
              </w:rPr>
            </w:pPr>
            <w:r>
              <w:rPr>
                <w:rFonts w:hint="eastAsia" w:ascii="宋体" w:hAnsi="宋体" w:cs="宋体"/>
                <w:color w:val="auto"/>
                <w:highlight w:val="none"/>
                <w:lang w:val="en-US" w:eastAsia="zh-CN"/>
              </w:rPr>
              <w:t>3</w:t>
            </w:r>
          </w:p>
        </w:tc>
      </w:tr>
      <w:tr w14:paraId="7F95B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Align w:val="center"/>
          </w:tcPr>
          <w:p w14:paraId="1E5519A0">
            <w:pPr>
              <w:pStyle w:val="22"/>
              <w:widowControl w:val="0"/>
              <w:numPr>
                <w:ilvl w:val="255"/>
                <w:numId w:val="0"/>
              </w:numPr>
              <w:jc w:val="center"/>
              <w:rPr>
                <w:rFonts w:ascii="宋体" w:hAnsi="宋体" w:cs="宋体"/>
                <w:color w:val="auto"/>
                <w:highlight w:val="none"/>
              </w:rPr>
            </w:pPr>
            <w:r>
              <w:rPr>
                <w:rFonts w:hint="eastAsia" w:ascii="宋体" w:hAnsi="宋体" w:cs="宋体"/>
                <w:color w:val="auto"/>
                <w:highlight w:val="none"/>
              </w:rPr>
              <w:t>条码打印机</w:t>
            </w:r>
          </w:p>
        </w:tc>
        <w:tc>
          <w:tcPr>
            <w:tcW w:w="2523" w:type="dxa"/>
          </w:tcPr>
          <w:p w14:paraId="41C4DA21">
            <w:pPr>
              <w:pStyle w:val="22"/>
              <w:widowControl w:val="0"/>
              <w:numPr>
                <w:ilvl w:val="255"/>
                <w:numId w:val="0"/>
              </w:numPr>
              <w:jc w:val="both"/>
              <w:rPr>
                <w:rFonts w:ascii="宋体" w:hAnsi="宋体" w:cs="宋体"/>
                <w:color w:val="auto"/>
                <w:highlight w:val="none"/>
              </w:rPr>
            </w:pPr>
            <w:r>
              <w:rPr>
                <w:rFonts w:hint="eastAsia" w:ascii="宋体" w:hAnsi="宋体" w:cs="宋体"/>
                <w:color w:val="auto"/>
                <w:highlight w:val="none"/>
              </w:rPr>
              <w:t>条码打印机</w:t>
            </w:r>
          </w:p>
        </w:tc>
        <w:tc>
          <w:tcPr>
            <w:tcW w:w="2667" w:type="dxa"/>
          </w:tcPr>
          <w:p w14:paraId="37F0F702">
            <w:pPr>
              <w:pStyle w:val="22"/>
              <w:widowControl w:val="0"/>
              <w:numPr>
                <w:ilvl w:val="255"/>
                <w:numId w:val="0"/>
              </w:numPr>
              <w:jc w:val="both"/>
              <w:rPr>
                <w:rFonts w:ascii="宋体" w:hAnsi="宋体" w:cs="宋体"/>
                <w:color w:val="auto"/>
                <w:highlight w:val="none"/>
              </w:rPr>
            </w:pPr>
            <w:r>
              <w:rPr>
                <w:rFonts w:hint="eastAsia" w:ascii="宋体" w:hAnsi="宋体" w:cs="宋体"/>
                <w:color w:val="auto"/>
                <w:highlight w:val="none"/>
              </w:rPr>
              <w:t xml:space="preserve">DL-208 </w:t>
            </w:r>
          </w:p>
        </w:tc>
        <w:tc>
          <w:tcPr>
            <w:tcW w:w="1559" w:type="dxa"/>
          </w:tcPr>
          <w:p w14:paraId="3240EB75">
            <w:pPr>
              <w:pStyle w:val="22"/>
              <w:widowControl w:val="0"/>
              <w:numPr>
                <w:ilvl w:val="255"/>
                <w:numId w:val="0"/>
              </w:numPr>
              <w:jc w:val="both"/>
              <w:rPr>
                <w:rFonts w:ascii="宋体" w:hAnsi="宋体" w:cs="宋体"/>
                <w:color w:val="auto"/>
                <w:highlight w:val="none"/>
              </w:rPr>
            </w:pPr>
            <w:r>
              <w:rPr>
                <w:rFonts w:hint="eastAsia" w:ascii="宋体" w:hAnsi="宋体" w:cs="宋体"/>
                <w:color w:val="auto"/>
                <w:highlight w:val="none"/>
              </w:rPr>
              <w:t>4</w:t>
            </w:r>
          </w:p>
        </w:tc>
      </w:tr>
      <w:tr w14:paraId="01C34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Merge w:val="restart"/>
            <w:vAlign w:val="center"/>
          </w:tcPr>
          <w:p w14:paraId="2DCB4E4A">
            <w:pPr>
              <w:pStyle w:val="22"/>
              <w:widowControl w:val="0"/>
              <w:numPr>
                <w:ilvl w:val="255"/>
                <w:numId w:val="0"/>
              </w:numPr>
              <w:jc w:val="center"/>
              <w:rPr>
                <w:rFonts w:ascii="宋体" w:hAnsi="宋体" w:cs="宋体"/>
                <w:color w:val="auto"/>
                <w:highlight w:val="none"/>
              </w:rPr>
            </w:pPr>
            <w:r>
              <w:rPr>
                <w:rFonts w:hint="eastAsia" w:ascii="宋体" w:hAnsi="宋体" w:cs="宋体"/>
                <w:color w:val="auto"/>
                <w:highlight w:val="none"/>
              </w:rPr>
              <w:t>扫码枪</w:t>
            </w:r>
          </w:p>
        </w:tc>
        <w:tc>
          <w:tcPr>
            <w:tcW w:w="2523" w:type="dxa"/>
          </w:tcPr>
          <w:p w14:paraId="6B874645">
            <w:pPr>
              <w:pStyle w:val="22"/>
              <w:widowControl w:val="0"/>
              <w:numPr>
                <w:ilvl w:val="255"/>
                <w:numId w:val="0"/>
              </w:numPr>
              <w:jc w:val="both"/>
              <w:rPr>
                <w:rFonts w:ascii="宋体" w:hAnsi="宋体" w:cs="宋体"/>
                <w:color w:val="auto"/>
                <w:highlight w:val="none"/>
              </w:rPr>
            </w:pPr>
            <w:r>
              <w:rPr>
                <w:rFonts w:hint="eastAsia" w:ascii="宋体" w:hAnsi="宋体" w:cs="宋体"/>
                <w:color w:val="auto"/>
                <w:highlight w:val="none"/>
              </w:rPr>
              <w:t>座式扫描枪</w:t>
            </w:r>
          </w:p>
        </w:tc>
        <w:tc>
          <w:tcPr>
            <w:tcW w:w="2667" w:type="dxa"/>
          </w:tcPr>
          <w:p w14:paraId="3F9FB9A8">
            <w:pPr>
              <w:pStyle w:val="22"/>
              <w:widowControl w:val="0"/>
              <w:numPr>
                <w:ilvl w:val="255"/>
                <w:numId w:val="0"/>
              </w:numPr>
              <w:jc w:val="both"/>
              <w:rPr>
                <w:rFonts w:ascii="宋体" w:hAnsi="宋体" w:cs="宋体"/>
                <w:color w:val="auto"/>
                <w:highlight w:val="none"/>
              </w:rPr>
            </w:pPr>
            <w:r>
              <w:rPr>
                <w:rFonts w:hint="eastAsia" w:ascii="宋体" w:hAnsi="宋体" w:cs="宋体"/>
                <w:color w:val="auto"/>
                <w:highlight w:val="none"/>
              </w:rPr>
              <w:t>霍尼韦尔 MK7580</w:t>
            </w:r>
          </w:p>
        </w:tc>
        <w:tc>
          <w:tcPr>
            <w:tcW w:w="1559" w:type="dxa"/>
          </w:tcPr>
          <w:p w14:paraId="6DA22DC8">
            <w:pPr>
              <w:pStyle w:val="22"/>
              <w:widowControl w:val="0"/>
              <w:numPr>
                <w:ilvl w:val="255"/>
                <w:numId w:val="0"/>
              </w:numPr>
              <w:jc w:val="both"/>
              <w:rPr>
                <w:rFonts w:ascii="宋体" w:hAnsi="宋体" w:cs="宋体"/>
                <w:color w:val="auto"/>
                <w:highlight w:val="none"/>
              </w:rPr>
            </w:pPr>
            <w:r>
              <w:rPr>
                <w:rFonts w:hint="eastAsia" w:ascii="宋体" w:hAnsi="宋体" w:cs="宋体"/>
                <w:color w:val="auto"/>
                <w:highlight w:val="none"/>
              </w:rPr>
              <w:t>1</w:t>
            </w:r>
          </w:p>
        </w:tc>
      </w:tr>
      <w:tr w14:paraId="68A09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Merge w:val="continue"/>
          </w:tcPr>
          <w:p w14:paraId="3B146EAB">
            <w:pPr>
              <w:pStyle w:val="22"/>
              <w:widowControl w:val="0"/>
              <w:numPr>
                <w:ilvl w:val="255"/>
                <w:numId w:val="0"/>
              </w:numPr>
              <w:jc w:val="both"/>
              <w:rPr>
                <w:rFonts w:ascii="宋体" w:hAnsi="宋体" w:cs="宋体"/>
                <w:color w:val="auto"/>
                <w:highlight w:val="none"/>
              </w:rPr>
            </w:pPr>
          </w:p>
        </w:tc>
        <w:tc>
          <w:tcPr>
            <w:tcW w:w="2523" w:type="dxa"/>
          </w:tcPr>
          <w:p w14:paraId="19E67895">
            <w:pPr>
              <w:pStyle w:val="22"/>
              <w:widowControl w:val="0"/>
              <w:numPr>
                <w:ilvl w:val="255"/>
                <w:numId w:val="0"/>
              </w:numPr>
              <w:jc w:val="both"/>
              <w:rPr>
                <w:rFonts w:ascii="宋体" w:hAnsi="宋体" w:cs="宋体"/>
                <w:color w:val="auto"/>
                <w:highlight w:val="none"/>
              </w:rPr>
            </w:pPr>
            <w:r>
              <w:rPr>
                <w:rFonts w:hint="eastAsia" w:ascii="宋体" w:hAnsi="宋体" w:cs="宋体"/>
                <w:color w:val="auto"/>
                <w:highlight w:val="none"/>
              </w:rPr>
              <w:t>无线手持扫描枪</w:t>
            </w:r>
          </w:p>
        </w:tc>
        <w:tc>
          <w:tcPr>
            <w:tcW w:w="2667" w:type="dxa"/>
          </w:tcPr>
          <w:p w14:paraId="39ACAA2C">
            <w:pPr>
              <w:pStyle w:val="22"/>
              <w:widowControl w:val="0"/>
              <w:numPr>
                <w:ilvl w:val="255"/>
                <w:numId w:val="0"/>
              </w:numPr>
              <w:jc w:val="both"/>
              <w:rPr>
                <w:rFonts w:ascii="宋体" w:hAnsi="宋体" w:cs="宋体"/>
                <w:color w:val="auto"/>
                <w:highlight w:val="none"/>
              </w:rPr>
            </w:pPr>
            <w:r>
              <w:rPr>
                <w:rFonts w:hint="eastAsia" w:ascii="宋体" w:hAnsi="宋体" w:cs="宋体"/>
                <w:color w:val="auto"/>
                <w:highlight w:val="none"/>
              </w:rPr>
              <w:t>霍尼韦尔1902GSR</w:t>
            </w:r>
          </w:p>
        </w:tc>
        <w:tc>
          <w:tcPr>
            <w:tcW w:w="1559" w:type="dxa"/>
          </w:tcPr>
          <w:p w14:paraId="30091CBF">
            <w:pPr>
              <w:pStyle w:val="22"/>
              <w:widowControl w:val="0"/>
              <w:numPr>
                <w:ilvl w:val="255"/>
                <w:numId w:val="0"/>
              </w:numPr>
              <w:jc w:val="both"/>
              <w:rPr>
                <w:rFonts w:ascii="宋体" w:hAnsi="宋体" w:cs="宋体"/>
                <w:color w:val="auto"/>
                <w:highlight w:val="none"/>
              </w:rPr>
            </w:pPr>
            <w:r>
              <w:rPr>
                <w:rFonts w:hint="eastAsia" w:ascii="宋体" w:hAnsi="宋体" w:cs="宋体"/>
                <w:color w:val="auto"/>
                <w:highlight w:val="none"/>
              </w:rPr>
              <w:t>1</w:t>
            </w:r>
          </w:p>
        </w:tc>
      </w:tr>
      <w:tr w14:paraId="527C5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tcPr>
          <w:p w14:paraId="75069E37">
            <w:pPr>
              <w:pStyle w:val="22"/>
              <w:widowControl w:val="0"/>
              <w:numPr>
                <w:ilvl w:val="255"/>
                <w:numId w:val="0"/>
              </w:numPr>
              <w:jc w:val="both"/>
              <w:rPr>
                <w:rFonts w:ascii="宋体" w:hAnsi="宋体" w:cs="宋体"/>
                <w:color w:val="auto"/>
                <w:highlight w:val="none"/>
              </w:rPr>
            </w:pPr>
            <w:r>
              <w:rPr>
                <w:rFonts w:hint="eastAsia" w:ascii="宋体" w:hAnsi="宋体" w:cs="宋体"/>
                <w:color w:val="auto"/>
                <w:highlight w:val="none"/>
              </w:rPr>
              <w:t>显示屏</w:t>
            </w:r>
          </w:p>
        </w:tc>
        <w:tc>
          <w:tcPr>
            <w:tcW w:w="2523" w:type="dxa"/>
          </w:tcPr>
          <w:p w14:paraId="19F09846">
            <w:pPr>
              <w:pStyle w:val="22"/>
              <w:widowControl w:val="0"/>
              <w:numPr>
                <w:ilvl w:val="255"/>
                <w:numId w:val="0"/>
              </w:numPr>
              <w:jc w:val="both"/>
              <w:rPr>
                <w:rFonts w:ascii="宋体" w:hAnsi="宋体" w:cs="宋体"/>
                <w:color w:val="auto"/>
                <w:highlight w:val="none"/>
              </w:rPr>
            </w:pPr>
            <w:r>
              <w:rPr>
                <w:rFonts w:hint="eastAsia" w:ascii="宋体" w:hAnsi="宋体" w:cs="宋体"/>
                <w:color w:val="auto"/>
                <w:highlight w:val="none"/>
              </w:rPr>
              <w:t>电脑24寸及以上显示屏</w:t>
            </w:r>
          </w:p>
        </w:tc>
        <w:tc>
          <w:tcPr>
            <w:tcW w:w="2667" w:type="dxa"/>
          </w:tcPr>
          <w:p w14:paraId="3E0E654F">
            <w:pPr>
              <w:pStyle w:val="22"/>
              <w:widowControl w:val="0"/>
              <w:numPr>
                <w:ilvl w:val="255"/>
                <w:numId w:val="0"/>
              </w:numPr>
              <w:jc w:val="both"/>
              <w:rPr>
                <w:rFonts w:ascii="宋体" w:hAnsi="宋体" w:cs="宋体"/>
                <w:color w:val="auto"/>
                <w:highlight w:val="none"/>
              </w:rPr>
            </w:pPr>
            <w:r>
              <w:rPr>
                <w:rFonts w:hint="eastAsia" w:ascii="宋体" w:hAnsi="宋体" w:cs="宋体"/>
                <w:color w:val="auto"/>
                <w:highlight w:val="none"/>
              </w:rPr>
              <w:t xml:space="preserve">HP P24v G4   </w:t>
            </w:r>
          </w:p>
        </w:tc>
        <w:tc>
          <w:tcPr>
            <w:tcW w:w="1559" w:type="dxa"/>
          </w:tcPr>
          <w:p w14:paraId="49516429">
            <w:pPr>
              <w:pStyle w:val="22"/>
              <w:widowControl w:val="0"/>
              <w:numPr>
                <w:ilvl w:val="255"/>
                <w:numId w:val="0"/>
              </w:numPr>
              <w:jc w:val="both"/>
              <w:rPr>
                <w:rFonts w:ascii="宋体" w:hAnsi="宋体" w:cs="宋体"/>
                <w:color w:val="auto"/>
                <w:highlight w:val="none"/>
              </w:rPr>
            </w:pPr>
            <w:r>
              <w:rPr>
                <w:rFonts w:hint="eastAsia" w:ascii="宋体" w:hAnsi="宋体" w:cs="宋体"/>
                <w:color w:val="auto"/>
                <w:highlight w:val="none"/>
              </w:rPr>
              <w:t>4</w:t>
            </w:r>
          </w:p>
        </w:tc>
      </w:tr>
      <w:tr w14:paraId="6C8DF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tcPr>
          <w:p w14:paraId="07537E67">
            <w:pPr>
              <w:pStyle w:val="22"/>
              <w:widowControl w:val="0"/>
              <w:numPr>
                <w:ilvl w:val="255"/>
                <w:numId w:val="0"/>
              </w:numPr>
              <w:jc w:val="both"/>
              <w:rPr>
                <w:rFonts w:ascii="宋体" w:hAnsi="宋体" w:cs="宋体"/>
                <w:color w:val="auto"/>
                <w:highlight w:val="none"/>
              </w:rPr>
            </w:pPr>
            <w:r>
              <w:rPr>
                <w:rFonts w:hint="eastAsia" w:ascii="宋体" w:hAnsi="宋体" w:cs="宋体"/>
                <w:color w:val="auto"/>
                <w:highlight w:val="none"/>
              </w:rPr>
              <w:t>打印机纸盒</w:t>
            </w:r>
          </w:p>
        </w:tc>
        <w:tc>
          <w:tcPr>
            <w:tcW w:w="2523" w:type="dxa"/>
          </w:tcPr>
          <w:p w14:paraId="2924EA65">
            <w:pPr>
              <w:pStyle w:val="22"/>
              <w:widowControl w:val="0"/>
              <w:numPr>
                <w:ilvl w:val="255"/>
                <w:numId w:val="0"/>
              </w:numPr>
              <w:jc w:val="both"/>
              <w:rPr>
                <w:rFonts w:ascii="宋体" w:hAnsi="宋体" w:cs="宋体"/>
                <w:color w:val="auto"/>
                <w:highlight w:val="none"/>
              </w:rPr>
            </w:pPr>
            <w:r>
              <w:rPr>
                <w:rFonts w:hint="eastAsia" w:ascii="宋体" w:hAnsi="宋体" w:cs="宋体"/>
                <w:color w:val="auto"/>
                <w:highlight w:val="none"/>
              </w:rPr>
              <w:t>HP LaserJet Pro M405dn进纸盒</w:t>
            </w:r>
          </w:p>
        </w:tc>
        <w:tc>
          <w:tcPr>
            <w:tcW w:w="2667" w:type="dxa"/>
          </w:tcPr>
          <w:p w14:paraId="0840E848">
            <w:pPr>
              <w:pStyle w:val="22"/>
              <w:widowControl w:val="0"/>
              <w:numPr>
                <w:ilvl w:val="255"/>
                <w:numId w:val="0"/>
              </w:numPr>
              <w:jc w:val="both"/>
              <w:rPr>
                <w:rFonts w:ascii="宋体" w:hAnsi="宋体" w:cs="宋体"/>
                <w:color w:val="auto"/>
                <w:highlight w:val="none"/>
              </w:rPr>
            </w:pPr>
            <w:r>
              <w:rPr>
                <w:rFonts w:hint="eastAsia" w:ascii="宋体" w:hAnsi="宋体" w:cs="宋体"/>
                <w:color w:val="auto"/>
                <w:highlight w:val="none"/>
              </w:rPr>
              <w:t xml:space="preserve">HP LaserJet Pro M405dn进纸盒 </w:t>
            </w:r>
          </w:p>
        </w:tc>
        <w:tc>
          <w:tcPr>
            <w:tcW w:w="1559" w:type="dxa"/>
          </w:tcPr>
          <w:p w14:paraId="3D1BBF7D">
            <w:pPr>
              <w:pStyle w:val="22"/>
              <w:widowControl w:val="0"/>
              <w:numPr>
                <w:ilvl w:val="255"/>
                <w:numId w:val="0"/>
              </w:numPr>
              <w:jc w:val="both"/>
              <w:rPr>
                <w:rFonts w:ascii="宋体" w:hAnsi="宋体" w:cs="宋体"/>
                <w:color w:val="auto"/>
                <w:highlight w:val="none"/>
              </w:rPr>
            </w:pPr>
            <w:r>
              <w:rPr>
                <w:rFonts w:hint="eastAsia" w:ascii="宋体" w:hAnsi="宋体" w:cs="宋体"/>
                <w:color w:val="auto"/>
                <w:highlight w:val="none"/>
              </w:rPr>
              <w:t>15</w:t>
            </w:r>
          </w:p>
        </w:tc>
      </w:tr>
    </w:tbl>
    <w:p w14:paraId="1CDB680A">
      <w:pPr>
        <w:pStyle w:val="22"/>
        <w:numPr>
          <w:ilvl w:val="255"/>
          <w:numId w:val="0"/>
        </w:numPr>
        <w:rPr>
          <w:rFonts w:ascii="宋体" w:hAnsi="宋体" w:cs="宋体"/>
          <w:color w:val="auto"/>
          <w:highlight w:val="none"/>
        </w:rPr>
      </w:pPr>
    </w:p>
    <w:p w14:paraId="2832F737">
      <w:pPr>
        <w:pStyle w:val="3"/>
        <w:spacing w:after="0"/>
        <w:ind w:firstLine="0" w:firstLineChars="0"/>
        <w:rPr>
          <w:rFonts w:ascii="宋体" w:hAnsi="宋体" w:cs="宋体"/>
          <w:color w:val="auto"/>
          <w:sz w:val="32"/>
          <w:szCs w:val="32"/>
          <w:highlight w:val="none"/>
        </w:rPr>
      </w:pPr>
      <w:r>
        <w:rPr>
          <w:rFonts w:hint="eastAsia" w:ascii="宋体" w:hAnsi="宋体" w:cs="宋体"/>
          <w:color w:val="auto"/>
          <w:sz w:val="32"/>
          <w:szCs w:val="32"/>
          <w:highlight w:val="none"/>
        </w:rPr>
        <w:t>四、故障级别和服务响应要求</w:t>
      </w:r>
    </w:p>
    <w:p w14:paraId="4642B992">
      <w:pPr>
        <w:rPr>
          <w:rFonts w:ascii="宋体" w:hAnsi="宋体" w:cs="宋体"/>
          <w:color w:val="auto"/>
          <w:highlight w:val="none"/>
        </w:rPr>
      </w:pPr>
      <w:r>
        <w:rPr>
          <w:rFonts w:hint="eastAsia" w:ascii="宋体" w:hAnsi="宋体" w:cs="宋体"/>
          <w:color w:val="auto"/>
          <w:highlight w:val="none"/>
        </w:rPr>
        <w:t>结合中山大学附属第一（南沙）医院目前信息化建设现状，衔接各相关运维内容的重要程度，相应的运行维护内容根据不同的服务级别和服务内容要求如下：</w:t>
      </w:r>
    </w:p>
    <w:p w14:paraId="08D5DF8C">
      <w:pPr>
        <w:pStyle w:val="4"/>
        <w:spacing w:before="156" w:after="156"/>
        <w:ind w:firstLine="422"/>
        <w:rPr>
          <w:rFonts w:cs="宋体"/>
          <w:b w:val="0"/>
          <w:color w:val="auto"/>
          <w:sz w:val="21"/>
          <w:szCs w:val="21"/>
          <w:highlight w:val="none"/>
        </w:rPr>
      </w:pPr>
      <w:r>
        <w:rPr>
          <w:rFonts w:hint="eastAsia" w:cs="宋体"/>
          <w:color w:val="auto"/>
          <w:sz w:val="21"/>
          <w:szCs w:val="21"/>
          <w:highlight w:val="none"/>
        </w:rPr>
        <w:t>4.1 服务级别水平</w:t>
      </w:r>
    </w:p>
    <w:p w14:paraId="0FEDB89B">
      <w:pPr>
        <w:pStyle w:val="23"/>
        <w:spacing w:before="156" w:after="156"/>
        <w:ind w:firstLine="422"/>
        <w:rPr>
          <w:rFonts w:cs="宋体"/>
          <w:color w:val="auto"/>
          <w:sz w:val="21"/>
          <w:szCs w:val="21"/>
          <w:highlight w:val="none"/>
        </w:rPr>
      </w:pPr>
      <w:r>
        <w:rPr>
          <w:rFonts w:hint="eastAsia" w:cs="宋体"/>
          <w:color w:val="auto"/>
          <w:sz w:val="21"/>
          <w:szCs w:val="21"/>
          <w:highlight w:val="none"/>
        </w:rPr>
        <w:t>故障级别</w:t>
      </w:r>
    </w:p>
    <w:tbl>
      <w:tblPr>
        <w:tblStyle w:val="16"/>
        <w:tblW w:w="83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6636"/>
      </w:tblGrid>
      <w:tr w14:paraId="4A294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2DCFD55F">
            <w:pPr>
              <w:widowControl w:val="0"/>
              <w:ind w:firstLine="0" w:firstLineChars="0"/>
              <w:jc w:val="center"/>
              <w:rPr>
                <w:rFonts w:ascii="宋体" w:hAnsi="宋体" w:cs="宋体"/>
                <w:color w:val="auto"/>
                <w:highlight w:val="none"/>
              </w:rPr>
            </w:pPr>
            <w:r>
              <w:rPr>
                <w:rFonts w:hint="eastAsia" w:ascii="宋体" w:hAnsi="宋体" w:cs="宋体"/>
                <w:color w:val="auto"/>
                <w:highlight w:val="none"/>
              </w:rPr>
              <w:t>故障级别</w:t>
            </w:r>
          </w:p>
        </w:tc>
        <w:tc>
          <w:tcPr>
            <w:tcW w:w="6636" w:type="dxa"/>
            <w:vAlign w:val="center"/>
          </w:tcPr>
          <w:p w14:paraId="193966CB">
            <w:pPr>
              <w:widowControl w:val="0"/>
              <w:ind w:firstLine="0" w:firstLineChars="0"/>
              <w:jc w:val="center"/>
              <w:rPr>
                <w:rFonts w:ascii="宋体" w:hAnsi="宋体" w:cs="宋体"/>
                <w:color w:val="auto"/>
                <w:highlight w:val="none"/>
              </w:rPr>
            </w:pPr>
            <w:r>
              <w:rPr>
                <w:rFonts w:hint="eastAsia" w:ascii="宋体" w:hAnsi="宋体" w:cs="宋体"/>
                <w:color w:val="auto"/>
                <w:highlight w:val="none"/>
              </w:rPr>
              <w:t>说明</w:t>
            </w:r>
          </w:p>
        </w:tc>
      </w:tr>
      <w:tr w14:paraId="4C46A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96" w:type="dxa"/>
            <w:vAlign w:val="center"/>
          </w:tcPr>
          <w:p w14:paraId="2C6D4AB4">
            <w:pPr>
              <w:pStyle w:val="7"/>
              <w:widowControl w:val="0"/>
              <w:ind w:firstLine="0" w:firstLineChars="0"/>
              <w:jc w:val="center"/>
              <w:rPr>
                <w:rFonts w:cs="宋体"/>
                <w:color w:val="auto"/>
                <w:sz w:val="21"/>
                <w:szCs w:val="21"/>
                <w:highlight w:val="none"/>
              </w:rPr>
            </w:pPr>
            <w:r>
              <w:rPr>
                <w:rFonts w:hint="eastAsia" w:cs="宋体"/>
                <w:color w:val="auto"/>
                <w:sz w:val="21"/>
                <w:szCs w:val="21"/>
                <w:highlight w:val="none"/>
              </w:rPr>
              <w:t>一级</w:t>
            </w:r>
          </w:p>
        </w:tc>
        <w:tc>
          <w:tcPr>
            <w:tcW w:w="6636" w:type="dxa"/>
            <w:vAlign w:val="center"/>
          </w:tcPr>
          <w:p w14:paraId="77D7A38B">
            <w:pPr>
              <w:pStyle w:val="7"/>
              <w:widowControl w:val="0"/>
              <w:ind w:firstLine="0" w:firstLineChars="0"/>
              <w:jc w:val="both"/>
              <w:rPr>
                <w:rFonts w:cs="宋体"/>
                <w:color w:val="auto"/>
                <w:sz w:val="21"/>
                <w:szCs w:val="21"/>
                <w:highlight w:val="none"/>
              </w:rPr>
            </w:pPr>
            <w:r>
              <w:rPr>
                <w:rFonts w:hint="eastAsia" w:cs="宋体"/>
                <w:color w:val="auto"/>
                <w:sz w:val="21"/>
                <w:szCs w:val="21"/>
                <w:highlight w:val="none"/>
              </w:rPr>
              <w:t>1.所有桌面端办公环境不可用；</w:t>
            </w:r>
          </w:p>
          <w:p w14:paraId="26AA08A1">
            <w:pPr>
              <w:pStyle w:val="7"/>
              <w:widowControl w:val="0"/>
              <w:ind w:firstLine="0" w:firstLineChars="0"/>
              <w:jc w:val="both"/>
              <w:rPr>
                <w:rFonts w:cs="宋体"/>
                <w:color w:val="auto"/>
                <w:sz w:val="21"/>
                <w:szCs w:val="21"/>
                <w:highlight w:val="none"/>
              </w:rPr>
            </w:pPr>
            <w:r>
              <w:rPr>
                <w:rFonts w:hint="eastAsia" w:cs="宋体"/>
                <w:color w:val="auto"/>
                <w:sz w:val="21"/>
                <w:szCs w:val="21"/>
                <w:highlight w:val="none"/>
              </w:rPr>
              <w:t>2.所有桌面端办公环境使用存在严重的性能问题；</w:t>
            </w:r>
          </w:p>
          <w:p w14:paraId="6419C926">
            <w:pPr>
              <w:pStyle w:val="7"/>
              <w:widowControl w:val="0"/>
              <w:ind w:firstLine="0" w:firstLineChars="0"/>
              <w:jc w:val="both"/>
              <w:rPr>
                <w:rFonts w:cs="宋体"/>
                <w:color w:val="auto"/>
                <w:sz w:val="21"/>
                <w:szCs w:val="21"/>
                <w:highlight w:val="none"/>
              </w:rPr>
            </w:pPr>
            <w:r>
              <w:rPr>
                <w:rFonts w:hint="eastAsia" w:cs="宋体"/>
                <w:color w:val="auto"/>
                <w:sz w:val="21"/>
                <w:szCs w:val="21"/>
                <w:highlight w:val="none"/>
              </w:rPr>
              <w:t>3.VIP用户桌面端办公环境不可用；</w:t>
            </w:r>
          </w:p>
        </w:tc>
      </w:tr>
      <w:tr w14:paraId="2E685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4E804990">
            <w:pPr>
              <w:pStyle w:val="7"/>
              <w:widowControl w:val="0"/>
              <w:ind w:firstLine="0" w:firstLineChars="0"/>
              <w:jc w:val="center"/>
              <w:rPr>
                <w:rFonts w:cs="宋体"/>
                <w:color w:val="auto"/>
                <w:sz w:val="21"/>
                <w:szCs w:val="21"/>
                <w:highlight w:val="none"/>
              </w:rPr>
            </w:pPr>
            <w:r>
              <w:rPr>
                <w:rFonts w:hint="eastAsia" w:cs="宋体"/>
                <w:color w:val="auto"/>
                <w:sz w:val="21"/>
                <w:szCs w:val="21"/>
                <w:highlight w:val="none"/>
              </w:rPr>
              <w:t>二级</w:t>
            </w:r>
          </w:p>
        </w:tc>
        <w:tc>
          <w:tcPr>
            <w:tcW w:w="6636" w:type="dxa"/>
            <w:vAlign w:val="center"/>
          </w:tcPr>
          <w:p w14:paraId="2A93031D">
            <w:pPr>
              <w:pStyle w:val="7"/>
              <w:widowControl w:val="0"/>
              <w:ind w:firstLine="0" w:firstLineChars="0"/>
              <w:jc w:val="both"/>
              <w:rPr>
                <w:rFonts w:cs="宋体"/>
                <w:color w:val="auto"/>
                <w:sz w:val="21"/>
                <w:szCs w:val="21"/>
                <w:highlight w:val="none"/>
              </w:rPr>
            </w:pPr>
            <w:r>
              <w:rPr>
                <w:rFonts w:hint="eastAsia" w:cs="宋体"/>
                <w:color w:val="auto"/>
                <w:sz w:val="21"/>
                <w:szCs w:val="21"/>
                <w:highlight w:val="none"/>
              </w:rPr>
              <w:t>1.桌面端办公环境不可用仅影响部分用户（非全员影响）；</w:t>
            </w:r>
          </w:p>
          <w:p w14:paraId="64EB354B">
            <w:pPr>
              <w:pStyle w:val="7"/>
              <w:widowControl w:val="0"/>
              <w:ind w:firstLine="0" w:firstLineChars="0"/>
              <w:jc w:val="both"/>
              <w:rPr>
                <w:rFonts w:cs="宋体"/>
                <w:color w:val="auto"/>
                <w:sz w:val="21"/>
                <w:szCs w:val="21"/>
                <w:highlight w:val="none"/>
              </w:rPr>
            </w:pPr>
            <w:r>
              <w:rPr>
                <w:rFonts w:hint="eastAsia" w:cs="宋体"/>
                <w:color w:val="auto"/>
                <w:sz w:val="21"/>
                <w:szCs w:val="21"/>
                <w:highlight w:val="none"/>
              </w:rPr>
              <w:t>2.所有桌面端办公环境的非核心应用功能不可用；</w:t>
            </w:r>
          </w:p>
        </w:tc>
      </w:tr>
      <w:tr w14:paraId="09435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74A62E8C">
            <w:pPr>
              <w:pStyle w:val="7"/>
              <w:widowControl w:val="0"/>
              <w:ind w:firstLine="0" w:firstLineChars="0"/>
              <w:jc w:val="center"/>
              <w:rPr>
                <w:rFonts w:cs="宋体"/>
                <w:color w:val="auto"/>
                <w:sz w:val="21"/>
                <w:szCs w:val="21"/>
                <w:highlight w:val="none"/>
              </w:rPr>
            </w:pPr>
            <w:r>
              <w:rPr>
                <w:rFonts w:hint="eastAsia" w:cs="宋体"/>
                <w:color w:val="auto"/>
                <w:sz w:val="21"/>
                <w:szCs w:val="21"/>
                <w:highlight w:val="none"/>
              </w:rPr>
              <w:t>三级</w:t>
            </w:r>
          </w:p>
        </w:tc>
        <w:tc>
          <w:tcPr>
            <w:tcW w:w="6636" w:type="dxa"/>
            <w:vAlign w:val="center"/>
          </w:tcPr>
          <w:p w14:paraId="2654B423">
            <w:pPr>
              <w:pStyle w:val="7"/>
              <w:widowControl w:val="0"/>
              <w:ind w:firstLine="0" w:firstLineChars="0"/>
              <w:jc w:val="both"/>
              <w:rPr>
                <w:rFonts w:cs="宋体"/>
                <w:color w:val="auto"/>
                <w:sz w:val="21"/>
                <w:szCs w:val="21"/>
                <w:highlight w:val="none"/>
              </w:rPr>
            </w:pPr>
            <w:r>
              <w:rPr>
                <w:rFonts w:hint="eastAsia" w:cs="宋体"/>
                <w:color w:val="auto"/>
                <w:sz w:val="21"/>
                <w:szCs w:val="21"/>
                <w:highlight w:val="none"/>
              </w:rPr>
              <w:t>1.单人（非VIP）桌面端办公环境不可用；</w:t>
            </w:r>
          </w:p>
          <w:p w14:paraId="1A8F5F2F">
            <w:pPr>
              <w:pStyle w:val="7"/>
              <w:widowControl w:val="0"/>
              <w:ind w:firstLine="0" w:firstLineChars="0"/>
              <w:jc w:val="both"/>
              <w:rPr>
                <w:rFonts w:cs="宋体"/>
                <w:color w:val="auto"/>
                <w:sz w:val="21"/>
                <w:szCs w:val="21"/>
                <w:highlight w:val="none"/>
              </w:rPr>
            </w:pPr>
            <w:r>
              <w:rPr>
                <w:rFonts w:hint="eastAsia" w:cs="宋体"/>
                <w:color w:val="auto"/>
                <w:sz w:val="21"/>
                <w:szCs w:val="21"/>
                <w:highlight w:val="none"/>
              </w:rPr>
              <w:t>2.所有桌面端办公环境的非功能性影响</w:t>
            </w:r>
          </w:p>
        </w:tc>
      </w:tr>
    </w:tbl>
    <w:p w14:paraId="77920939">
      <w:pPr>
        <w:pStyle w:val="24"/>
        <w:bidi w:val="0"/>
      </w:pPr>
    </w:p>
    <w:p w14:paraId="3878CAE4">
      <w:pPr>
        <w:pStyle w:val="23"/>
        <w:spacing w:before="156" w:after="156"/>
        <w:ind w:firstLine="422"/>
        <w:rPr>
          <w:rFonts w:cs="宋体"/>
          <w:color w:val="auto"/>
          <w:sz w:val="21"/>
          <w:szCs w:val="21"/>
          <w:highlight w:val="none"/>
        </w:rPr>
      </w:pPr>
      <w:r>
        <w:rPr>
          <w:rFonts w:hint="eastAsia" w:cs="宋体"/>
          <w:color w:val="auto"/>
          <w:sz w:val="21"/>
          <w:szCs w:val="21"/>
          <w:highlight w:val="none"/>
        </w:rPr>
        <w:t>服务响应级别（SLA）：</w:t>
      </w:r>
    </w:p>
    <w:p w14:paraId="0D0C57FC">
      <w:pPr>
        <w:pStyle w:val="7"/>
        <w:rPr>
          <w:rFonts w:cs="宋体"/>
          <w:color w:val="auto"/>
          <w:sz w:val="21"/>
          <w:szCs w:val="21"/>
          <w:highlight w:val="none"/>
        </w:rPr>
      </w:pPr>
      <w:r>
        <w:rPr>
          <w:rFonts w:hint="eastAsia" w:cs="宋体"/>
          <w:color w:val="auto"/>
          <w:sz w:val="21"/>
          <w:szCs w:val="21"/>
          <w:highlight w:val="none"/>
        </w:rPr>
        <w:t>针对本期运维项目，设定以下三种服务级别及响应服务要求：</w:t>
      </w:r>
    </w:p>
    <w:tbl>
      <w:tblPr>
        <w:tblStyle w:val="16"/>
        <w:tblW w:w="85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6"/>
        <w:gridCol w:w="2126"/>
        <w:gridCol w:w="2126"/>
        <w:gridCol w:w="2126"/>
      </w:tblGrid>
      <w:tr w14:paraId="522B5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2126" w:type="dxa"/>
          </w:tcPr>
          <w:p w14:paraId="2D981924">
            <w:pPr>
              <w:pStyle w:val="31"/>
              <w:widowControl w:val="0"/>
              <w:ind w:firstLine="0" w:firstLineChars="0"/>
              <w:jc w:val="center"/>
              <w:rPr>
                <w:rFonts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SLA级别</w:t>
            </w:r>
          </w:p>
        </w:tc>
        <w:tc>
          <w:tcPr>
            <w:tcW w:w="2126" w:type="dxa"/>
          </w:tcPr>
          <w:p w14:paraId="3F095591">
            <w:pPr>
              <w:pStyle w:val="31"/>
              <w:widowControl w:val="0"/>
              <w:ind w:firstLine="0" w:firstLineChars="0"/>
              <w:jc w:val="both"/>
              <w:rPr>
                <w:rFonts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服务响应时间</w:t>
            </w:r>
          </w:p>
        </w:tc>
        <w:tc>
          <w:tcPr>
            <w:tcW w:w="2126" w:type="dxa"/>
          </w:tcPr>
          <w:p w14:paraId="64246D32">
            <w:pPr>
              <w:pStyle w:val="31"/>
              <w:widowControl w:val="0"/>
              <w:ind w:firstLine="0" w:firstLineChars="0"/>
              <w:jc w:val="both"/>
              <w:rPr>
                <w:rFonts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到场时间</w:t>
            </w:r>
          </w:p>
        </w:tc>
        <w:tc>
          <w:tcPr>
            <w:tcW w:w="2126" w:type="dxa"/>
          </w:tcPr>
          <w:p w14:paraId="647E08FA">
            <w:pPr>
              <w:pStyle w:val="31"/>
              <w:widowControl w:val="0"/>
              <w:ind w:firstLine="0" w:firstLineChars="0"/>
              <w:jc w:val="both"/>
              <w:rPr>
                <w:rFonts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最长恢复时间</w:t>
            </w:r>
          </w:p>
        </w:tc>
      </w:tr>
      <w:tr w14:paraId="2B65A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2126" w:type="dxa"/>
          </w:tcPr>
          <w:p w14:paraId="6467E0AB">
            <w:pPr>
              <w:pStyle w:val="31"/>
              <w:widowControl w:val="0"/>
              <w:ind w:firstLine="0" w:firstLineChars="0"/>
              <w:jc w:val="center"/>
              <w:rPr>
                <w:rFonts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紧急程度1</w:t>
            </w:r>
          </w:p>
        </w:tc>
        <w:tc>
          <w:tcPr>
            <w:tcW w:w="2126" w:type="dxa"/>
          </w:tcPr>
          <w:p w14:paraId="0022F982">
            <w:pPr>
              <w:pStyle w:val="31"/>
              <w:widowControl w:val="0"/>
              <w:ind w:firstLine="0" w:firstLineChars="0"/>
              <w:jc w:val="center"/>
              <w:rPr>
                <w:rFonts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5分钟</w:t>
            </w:r>
          </w:p>
        </w:tc>
        <w:tc>
          <w:tcPr>
            <w:tcW w:w="2126" w:type="dxa"/>
          </w:tcPr>
          <w:p w14:paraId="58CAAD97">
            <w:pPr>
              <w:pStyle w:val="31"/>
              <w:widowControl w:val="0"/>
              <w:ind w:firstLine="0" w:firstLineChars="0"/>
              <w:jc w:val="center"/>
              <w:rPr>
                <w:rFonts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10分钟</w:t>
            </w:r>
          </w:p>
        </w:tc>
        <w:tc>
          <w:tcPr>
            <w:tcW w:w="2126" w:type="dxa"/>
          </w:tcPr>
          <w:p w14:paraId="727270FD">
            <w:pPr>
              <w:pStyle w:val="31"/>
              <w:widowControl w:val="0"/>
              <w:ind w:firstLine="0" w:firstLineChars="0"/>
              <w:jc w:val="center"/>
              <w:rPr>
                <w:rFonts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2小时内</w:t>
            </w:r>
          </w:p>
        </w:tc>
      </w:tr>
      <w:tr w14:paraId="607F3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2126" w:type="dxa"/>
          </w:tcPr>
          <w:p w14:paraId="74E4501F">
            <w:pPr>
              <w:pStyle w:val="31"/>
              <w:widowControl w:val="0"/>
              <w:ind w:firstLine="0" w:firstLineChars="0"/>
              <w:jc w:val="center"/>
              <w:rPr>
                <w:rFonts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紧急程度2</w:t>
            </w:r>
          </w:p>
        </w:tc>
        <w:tc>
          <w:tcPr>
            <w:tcW w:w="2126" w:type="dxa"/>
          </w:tcPr>
          <w:p w14:paraId="75E2B83C">
            <w:pPr>
              <w:pStyle w:val="31"/>
              <w:widowControl w:val="0"/>
              <w:ind w:firstLine="0" w:firstLineChars="0"/>
              <w:jc w:val="center"/>
              <w:rPr>
                <w:rFonts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10分钟</w:t>
            </w:r>
          </w:p>
        </w:tc>
        <w:tc>
          <w:tcPr>
            <w:tcW w:w="2126" w:type="dxa"/>
          </w:tcPr>
          <w:p w14:paraId="15C2C31F">
            <w:pPr>
              <w:pStyle w:val="31"/>
              <w:widowControl w:val="0"/>
              <w:ind w:firstLine="0" w:firstLineChars="0"/>
              <w:jc w:val="center"/>
              <w:rPr>
                <w:rFonts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20分钟</w:t>
            </w:r>
          </w:p>
        </w:tc>
        <w:tc>
          <w:tcPr>
            <w:tcW w:w="2126" w:type="dxa"/>
          </w:tcPr>
          <w:p w14:paraId="6BC43056">
            <w:pPr>
              <w:pStyle w:val="31"/>
              <w:widowControl w:val="0"/>
              <w:ind w:firstLine="0" w:firstLineChars="0"/>
              <w:jc w:val="center"/>
              <w:rPr>
                <w:rFonts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4小时内</w:t>
            </w:r>
          </w:p>
        </w:tc>
      </w:tr>
      <w:tr w14:paraId="67DDF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2126" w:type="dxa"/>
          </w:tcPr>
          <w:p w14:paraId="0B52E08C">
            <w:pPr>
              <w:pStyle w:val="31"/>
              <w:widowControl w:val="0"/>
              <w:ind w:firstLine="0" w:firstLineChars="0"/>
              <w:jc w:val="center"/>
              <w:rPr>
                <w:rFonts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紧急程度3</w:t>
            </w:r>
          </w:p>
        </w:tc>
        <w:tc>
          <w:tcPr>
            <w:tcW w:w="2126" w:type="dxa"/>
          </w:tcPr>
          <w:p w14:paraId="057D13A9">
            <w:pPr>
              <w:pStyle w:val="31"/>
              <w:widowControl w:val="0"/>
              <w:ind w:firstLine="0" w:firstLineChars="0"/>
              <w:jc w:val="center"/>
              <w:rPr>
                <w:rFonts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15分钟</w:t>
            </w:r>
          </w:p>
        </w:tc>
        <w:tc>
          <w:tcPr>
            <w:tcW w:w="2126" w:type="dxa"/>
          </w:tcPr>
          <w:p w14:paraId="2A67E1BC">
            <w:pPr>
              <w:pStyle w:val="31"/>
              <w:widowControl w:val="0"/>
              <w:ind w:firstLine="0" w:firstLineChars="0"/>
              <w:jc w:val="center"/>
              <w:rPr>
                <w:rFonts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30分钟</w:t>
            </w:r>
          </w:p>
        </w:tc>
        <w:tc>
          <w:tcPr>
            <w:tcW w:w="2126" w:type="dxa"/>
          </w:tcPr>
          <w:p w14:paraId="6E4BAAA2">
            <w:pPr>
              <w:pStyle w:val="31"/>
              <w:widowControl w:val="0"/>
              <w:ind w:firstLine="0" w:firstLineChars="0"/>
              <w:jc w:val="center"/>
              <w:rPr>
                <w:rFonts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8小时内</w:t>
            </w:r>
          </w:p>
        </w:tc>
      </w:tr>
    </w:tbl>
    <w:p w14:paraId="488D582F">
      <w:pPr>
        <w:rPr>
          <w:rFonts w:ascii="宋体" w:hAnsi="宋体" w:cs="宋体"/>
          <w:color w:val="auto"/>
          <w:highlight w:val="none"/>
        </w:rPr>
      </w:pPr>
    </w:p>
    <w:p w14:paraId="717CD0D9">
      <w:pPr>
        <w:pStyle w:val="4"/>
        <w:spacing w:before="156" w:after="156"/>
        <w:ind w:firstLine="422"/>
        <w:rPr>
          <w:rFonts w:cs="宋体"/>
          <w:color w:val="auto"/>
          <w:sz w:val="21"/>
          <w:szCs w:val="21"/>
          <w:highlight w:val="none"/>
        </w:rPr>
      </w:pPr>
      <w:r>
        <w:rPr>
          <w:rFonts w:hint="eastAsia" w:cs="宋体"/>
          <w:color w:val="auto"/>
          <w:sz w:val="21"/>
          <w:szCs w:val="21"/>
          <w:highlight w:val="none"/>
        </w:rPr>
        <w:t>4.2▲服务响应时间要求</w:t>
      </w:r>
    </w:p>
    <w:p w14:paraId="5C650380">
      <w:pPr>
        <w:rPr>
          <w:rFonts w:ascii="宋体" w:hAnsi="宋体" w:cs="宋体"/>
          <w:color w:val="auto"/>
          <w:highlight w:val="none"/>
        </w:rPr>
      </w:pPr>
      <w:r>
        <w:rPr>
          <w:rFonts w:hint="eastAsia" w:ascii="宋体" w:hAnsi="宋体" w:cs="宋体"/>
          <w:color w:val="auto"/>
          <w:highlight w:val="none"/>
        </w:rPr>
        <w:t>（1）服务响应到场时间要求：</w:t>
      </w:r>
    </w:p>
    <w:p w14:paraId="2A442A48">
      <w:pPr>
        <w:rPr>
          <w:rFonts w:ascii="宋体" w:hAnsi="宋体" w:cs="宋体"/>
          <w:color w:val="auto"/>
          <w:highlight w:val="none"/>
        </w:rPr>
      </w:pPr>
      <w:r>
        <w:rPr>
          <w:rFonts w:hint="eastAsia" w:ascii="宋体" w:hAnsi="宋体" w:cs="宋体"/>
          <w:color w:val="auto"/>
          <w:highlight w:val="none"/>
        </w:rPr>
        <w:t>乙方应设立维修服务专用联系电话，在工作时间（含国家法定节假日的8:30至17:30）接到报修通知后临床及一线科室平均响应时间为15分钟内到达故障现场、行政后勤等办公平均响应时间为30分钟内到达故障现场进行了解和处理（若属紧急或特殊情况的，应给予</w:t>
      </w:r>
      <w:r>
        <w:rPr>
          <w:rFonts w:hint="eastAsia" w:ascii="宋体" w:hAnsi="宋体" w:cs="宋体"/>
          <w:color w:val="auto"/>
          <w:highlight w:val="none"/>
          <w:lang w:eastAsia="zh-CN"/>
        </w:rPr>
        <w:t>迅速</w:t>
      </w:r>
      <w:r>
        <w:rPr>
          <w:rFonts w:hint="eastAsia" w:ascii="宋体" w:hAnsi="宋体" w:cs="宋体"/>
          <w:color w:val="auto"/>
          <w:highlight w:val="none"/>
        </w:rPr>
        <w:t>响应）。在非正常工作时间（正常工作日</w:t>
      </w:r>
      <w:r>
        <w:rPr>
          <w:rFonts w:hint="eastAsia" w:ascii="宋体" w:hAnsi="宋体" w:cs="宋体"/>
          <w:color w:val="auto"/>
          <w:highlight w:val="none"/>
          <w:lang w:eastAsia="zh-CN"/>
        </w:rPr>
        <w:t>17:30－</w:t>
      </w:r>
      <w:r>
        <w:rPr>
          <w:rFonts w:hint="eastAsia" w:ascii="宋体" w:hAnsi="宋体" w:cs="宋体"/>
          <w:color w:val="auto"/>
          <w:highlight w:val="none"/>
        </w:rPr>
        <w:t>次日8</w:t>
      </w:r>
      <w:r>
        <w:rPr>
          <w:rFonts w:hint="eastAsia" w:ascii="宋体" w:hAnsi="宋体" w:cs="宋体"/>
          <w:color w:val="auto"/>
          <w:highlight w:val="none"/>
          <w:lang w:eastAsia="zh-CN"/>
        </w:rPr>
        <w:t>:</w:t>
      </w:r>
      <w:r>
        <w:rPr>
          <w:rFonts w:hint="eastAsia" w:ascii="宋体" w:hAnsi="宋体" w:cs="宋体"/>
          <w:color w:val="auto"/>
          <w:highlight w:val="none"/>
        </w:rPr>
        <w:t>30和周末国家法定节假日的8:30</w:t>
      </w:r>
      <w:r>
        <w:rPr>
          <w:rFonts w:hint="eastAsia" w:ascii="宋体" w:hAnsi="宋体" w:cs="宋体"/>
          <w:color w:val="auto"/>
          <w:highlight w:val="none"/>
          <w:lang w:eastAsia="zh-CN"/>
        </w:rPr>
        <w:t>－</w:t>
      </w:r>
      <w:r>
        <w:rPr>
          <w:rFonts w:hint="eastAsia" w:ascii="宋体" w:hAnsi="宋体" w:cs="宋体"/>
          <w:color w:val="auto"/>
          <w:highlight w:val="none"/>
        </w:rPr>
        <w:t>次日8:30）接到报修通知后平均响应时间为15分钟内到达故障现场进行了解和处理。若属紧急或特殊情况的，应给予</w:t>
      </w:r>
      <w:r>
        <w:rPr>
          <w:rFonts w:hint="eastAsia" w:ascii="宋体" w:hAnsi="宋体" w:cs="宋体"/>
          <w:color w:val="auto"/>
          <w:highlight w:val="none"/>
          <w:lang w:eastAsia="zh-CN"/>
        </w:rPr>
        <w:t>迅速</w:t>
      </w:r>
      <w:r>
        <w:rPr>
          <w:rFonts w:hint="eastAsia" w:ascii="宋体" w:hAnsi="宋体" w:cs="宋体"/>
          <w:color w:val="auto"/>
          <w:highlight w:val="none"/>
        </w:rPr>
        <w:t>响应。</w:t>
      </w:r>
    </w:p>
    <w:p w14:paraId="1416CB66">
      <w:pPr>
        <w:rPr>
          <w:rFonts w:ascii="宋体" w:hAnsi="宋体" w:cs="宋体"/>
          <w:color w:val="auto"/>
          <w:highlight w:val="none"/>
        </w:rPr>
      </w:pPr>
      <w:r>
        <w:rPr>
          <w:rFonts w:hint="eastAsia" w:ascii="宋体" w:hAnsi="宋体" w:cs="宋体"/>
          <w:color w:val="auto"/>
          <w:highlight w:val="none"/>
        </w:rPr>
        <w:t>（2）故障处理解决时间要求：</w:t>
      </w:r>
    </w:p>
    <w:p w14:paraId="4985C738">
      <w:pPr>
        <w:rPr>
          <w:rFonts w:ascii="宋体" w:hAnsi="宋体" w:cs="宋体"/>
          <w:color w:val="auto"/>
          <w:highlight w:val="none"/>
        </w:rPr>
      </w:pPr>
      <w:r>
        <w:rPr>
          <w:rFonts w:hint="eastAsia" w:ascii="宋体" w:hAnsi="宋体" w:cs="宋体"/>
          <w:color w:val="auto"/>
          <w:highlight w:val="none"/>
        </w:rPr>
        <w:t>现场能处理的故障平均解决时间不超过3小时；非现场能处理的故障并且不需送院外维修的，2天之内维修好；判断为硬件故障的，需要送院外（第三方维修除外）维修的，5</w:t>
      </w:r>
      <w:r>
        <w:rPr>
          <w:rFonts w:hint="eastAsia" w:ascii="宋体" w:hAnsi="宋体" w:cs="宋体"/>
          <w:color w:val="auto"/>
          <w:highlight w:val="none"/>
          <w:lang w:eastAsia="zh-CN"/>
        </w:rPr>
        <w:t>—</w:t>
      </w:r>
      <w:r>
        <w:rPr>
          <w:rFonts w:hint="eastAsia" w:ascii="宋体" w:hAnsi="宋体" w:cs="宋体"/>
          <w:color w:val="auto"/>
          <w:highlight w:val="none"/>
        </w:rPr>
        <w:t>7天内维修好；特殊情况未能在响应时间内处理完成的，必须立即向医院相关管理部门汇报。</w:t>
      </w:r>
      <w:r>
        <w:rPr>
          <w:rFonts w:ascii="宋体" w:hAnsi="宋体" w:cs="宋体"/>
          <w:color w:val="auto"/>
          <w:highlight w:val="none"/>
        </w:rPr>
        <w:t>乙方未在约定时限内完成故障处理的，每超时1小时，罚款</w:t>
      </w:r>
      <w:r>
        <w:rPr>
          <w:rFonts w:hint="eastAsia" w:ascii="宋体" w:hAnsi="宋体" w:cs="宋体"/>
          <w:color w:val="auto"/>
          <w:highlight w:val="none"/>
        </w:rPr>
        <w:t>100</w:t>
      </w:r>
      <w:r>
        <w:rPr>
          <w:rFonts w:ascii="宋体" w:hAnsi="宋体" w:cs="宋体"/>
          <w:color w:val="auto"/>
          <w:highlight w:val="none"/>
        </w:rPr>
        <w:t>元</w:t>
      </w:r>
      <w:r>
        <w:rPr>
          <w:rFonts w:hint="eastAsia" w:ascii="宋体" w:hAnsi="宋体" w:cs="宋体"/>
          <w:color w:val="auto"/>
          <w:highlight w:val="none"/>
          <w:lang w:eastAsia="zh-CN"/>
        </w:rPr>
        <w:t>，</w:t>
      </w:r>
      <w:r>
        <w:rPr>
          <w:rFonts w:hint="eastAsia" w:ascii="宋体" w:hAnsi="宋体" w:cs="宋体"/>
          <w:color w:val="auto"/>
          <w:highlight w:val="none"/>
        </w:rPr>
        <w:t>季度统计。</w:t>
      </w:r>
      <w:r>
        <w:rPr>
          <w:rFonts w:ascii="宋体" w:hAnsi="宋体" w:cs="宋体"/>
          <w:color w:val="auto"/>
          <w:highlight w:val="none"/>
        </w:rPr>
        <w:t>因乙方原因导致设备修复延误，影响甲方正常工作的，每次罚款500元</w:t>
      </w:r>
      <w:r>
        <w:rPr>
          <w:rFonts w:hint="eastAsia" w:ascii="宋体" w:hAnsi="宋体" w:cs="宋体"/>
          <w:color w:val="auto"/>
          <w:highlight w:val="none"/>
        </w:rPr>
        <w:t>。</w:t>
      </w:r>
      <w:r>
        <w:rPr>
          <w:rFonts w:ascii="宋体" w:hAnsi="宋体" w:cs="宋体"/>
          <w:color w:val="auto"/>
          <w:highlight w:val="none"/>
        </w:rPr>
        <w:t>甲方按月对乙方服务质量进行考核（满分100分，</w:t>
      </w:r>
      <w:r>
        <w:rPr>
          <w:rFonts w:hint="eastAsia" w:ascii="宋体" w:hAnsi="宋体" w:cs="宋体"/>
          <w:color w:val="auto"/>
          <w:highlight w:val="none"/>
        </w:rPr>
        <w:t>8</w:t>
      </w:r>
      <w:r>
        <w:rPr>
          <w:rFonts w:ascii="宋体" w:hAnsi="宋体" w:cs="宋体"/>
          <w:color w:val="auto"/>
          <w:highlight w:val="none"/>
        </w:rPr>
        <w:t>5分合格），每扣1分，扣除当月服务费100元；月度得分低于65分的，甲方有权单方解除合同</w:t>
      </w:r>
    </w:p>
    <w:p w14:paraId="73F95E4A">
      <w:pPr>
        <w:pStyle w:val="3"/>
        <w:spacing w:after="0"/>
        <w:ind w:firstLine="0" w:firstLineChars="0"/>
        <w:rPr>
          <w:rFonts w:ascii="宋体" w:hAnsi="宋体" w:cs="宋体"/>
          <w:color w:val="auto"/>
          <w:sz w:val="32"/>
          <w:szCs w:val="32"/>
          <w:highlight w:val="none"/>
        </w:rPr>
      </w:pPr>
      <w:bookmarkStart w:id="33" w:name="_Toc441477863"/>
      <w:r>
        <w:rPr>
          <w:rFonts w:hint="eastAsia" w:ascii="宋体" w:hAnsi="宋体" w:cs="宋体"/>
          <w:color w:val="auto"/>
          <w:sz w:val="32"/>
          <w:szCs w:val="32"/>
          <w:highlight w:val="none"/>
        </w:rPr>
        <w:t>五、考核评估及惩罚制度</w:t>
      </w:r>
    </w:p>
    <w:p w14:paraId="40A33751">
      <w:pPr>
        <w:rPr>
          <w:rFonts w:ascii="宋体" w:hAnsi="宋体" w:cs="宋体"/>
          <w:color w:val="auto"/>
          <w:highlight w:val="none"/>
        </w:rPr>
      </w:pPr>
      <w:r>
        <w:rPr>
          <w:rFonts w:hint="eastAsia" w:ascii="宋体" w:hAnsi="宋体" w:cs="宋体"/>
          <w:color w:val="auto"/>
          <w:highlight w:val="none"/>
          <w:lang w:eastAsia="zh-CN"/>
        </w:rPr>
        <w:t>1.</w:t>
      </w:r>
      <w:r>
        <w:rPr>
          <w:rFonts w:hint="eastAsia" w:ascii="宋体" w:hAnsi="宋体" w:cs="宋体"/>
          <w:color w:val="auto"/>
          <w:highlight w:val="none"/>
        </w:rPr>
        <w:t>乙方因人为操作导致医院弱电层设备停止工作超过30分钟的或损坏弱电交换机，按每年合同金额【5%】/次向甲方支付赔偿金，并赔偿相应故障导致的医院损失。</w:t>
      </w:r>
    </w:p>
    <w:p w14:paraId="508DF0C5">
      <w:pPr>
        <w:rPr>
          <w:rFonts w:ascii="宋体" w:hAnsi="宋体" w:cs="宋体"/>
          <w:color w:val="auto"/>
          <w:highlight w:val="none"/>
        </w:rPr>
      </w:pPr>
      <w:r>
        <w:rPr>
          <w:rFonts w:hint="eastAsia" w:ascii="宋体" w:hAnsi="宋体" w:cs="宋体"/>
          <w:color w:val="auto"/>
          <w:highlight w:val="none"/>
          <w:lang w:eastAsia="zh-CN"/>
        </w:rPr>
        <w:t>2.</w:t>
      </w:r>
      <w:r>
        <w:rPr>
          <w:rFonts w:hint="eastAsia" w:ascii="宋体" w:hAnsi="宋体" w:cs="宋体"/>
          <w:color w:val="auto"/>
          <w:highlight w:val="none"/>
        </w:rPr>
        <w:t>乙方人为操作导致数据丢失情况超过且无法恢复完全的，或导致医院相关数据资料外泄，按每年合同金额【5%】/次向甲方支付赔偿金，并赔偿相应故障导致的医院损失，严重的将追责法律责任。</w:t>
      </w:r>
    </w:p>
    <w:p w14:paraId="705AA74E">
      <w:pPr>
        <w:rPr>
          <w:rFonts w:ascii="宋体" w:hAnsi="宋体" w:cs="宋体"/>
          <w:color w:val="auto"/>
          <w:highlight w:val="none"/>
        </w:rPr>
      </w:pPr>
      <w:r>
        <w:rPr>
          <w:rFonts w:hint="eastAsia" w:ascii="宋体" w:hAnsi="宋体" w:cs="宋体"/>
          <w:color w:val="auto"/>
          <w:highlight w:val="none"/>
          <w:lang w:eastAsia="zh-CN"/>
        </w:rPr>
        <w:t>3.</w:t>
      </w:r>
      <w:r>
        <w:rPr>
          <w:rFonts w:hint="eastAsia" w:ascii="宋体" w:hAnsi="宋体" w:cs="宋体"/>
          <w:color w:val="auto"/>
          <w:highlight w:val="none"/>
        </w:rPr>
        <w:t>乙方故障处理过程中存在严重失职行为，包括但不限于消极怠工、人为误操作、未经甲方同意更换人员等导致严重影响的（包括对应科室提交书面严重投诉），按每年合同金额【5%】/次向甲方支付赔偿金，并赔偿相应故障导致的医院损失。</w:t>
      </w:r>
    </w:p>
    <w:p w14:paraId="60D15132">
      <w:pPr>
        <w:rPr>
          <w:rFonts w:ascii="宋体" w:hAnsi="宋体" w:cs="宋体"/>
          <w:color w:val="auto"/>
          <w:highlight w:val="none"/>
        </w:rPr>
      </w:pPr>
      <w:r>
        <w:rPr>
          <w:rFonts w:hint="eastAsia" w:ascii="宋体" w:hAnsi="宋体" w:cs="宋体"/>
          <w:color w:val="auto"/>
          <w:highlight w:val="none"/>
          <w:lang w:eastAsia="zh-CN"/>
        </w:rPr>
        <w:t>4.</w:t>
      </w:r>
      <w:r>
        <w:rPr>
          <w:rFonts w:hint="eastAsia" w:ascii="宋体" w:hAnsi="宋体" w:cs="宋体"/>
          <w:color w:val="auto"/>
          <w:highlight w:val="none"/>
        </w:rPr>
        <w:t>每年技术支持期内总的扣除费用最多不超过每年合同总价的20%， 该费用由自行在未付款项中扣除，对于不足部分乙方应向甲方补足。</w:t>
      </w:r>
    </w:p>
    <w:p w14:paraId="5924E0BA">
      <w:pPr>
        <w:rPr>
          <w:rFonts w:ascii="宋体" w:hAnsi="宋体" w:cs="宋体"/>
          <w:color w:val="auto"/>
          <w:highlight w:val="none"/>
        </w:rPr>
      </w:pPr>
      <w:r>
        <w:rPr>
          <w:rFonts w:hint="eastAsia" w:ascii="宋体" w:hAnsi="宋体" w:cs="宋体"/>
          <w:color w:val="auto"/>
          <w:highlight w:val="none"/>
          <w:lang w:eastAsia="zh-CN"/>
        </w:rPr>
        <w:t>5.</w:t>
      </w:r>
      <w:r>
        <w:rPr>
          <w:rFonts w:hint="eastAsia" w:ascii="宋体" w:hAnsi="宋体" w:cs="宋体"/>
          <w:color w:val="auto"/>
          <w:highlight w:val="none"/>
        </w:rPr>
        <w:t>乙方必须提前备好合格技术员不少于9人</w:t>
      </w:r>
      <w:r>
        <w:rPr>
          <w:rFonts w:hint="eastAsia" w:ascii="宋体" w:hAnsi="宋体" w:cs="宋体"/>
          <w:color w:val="auto"/>
          <w:highlight w:val="none"/>
          <w:lang w:eastAsia="zh-CN"/>
        </w:rPr>
        <w:t>，</w:t>
      </w:r>
      <w:r>
        <w:rPr>
          <w:rFonts w:hint="eastAsia" w:ascii="宋体" w:hAnsi="宋体" w:cs="宋体"/>
          <w:color w:val="auto"/>
          <w:highlight w:val="none"/>
        </w:rPr>
        <w:t>并保证在合同签订后5个工作日内全部到位，否则扣减服务费1000元/人/个自然日。乙方应确保其驻场技术人员经过专业培训，并保证其驻场技术人员稳定。如未经甲方同意乙方擅自更换驻场技术人员，按违约处理，甲方有权于当期应付服务费用中扣减乙方服务费用500元/人次。如因此影响本项目的服务质量或产生相关损害和责任，均由乙方承担。乙方应保证工作期间驻场人员数量，驻场人员应服从医院信息数据中心岗位工作调配。若甲方发现乙方驻场人员不足或配置人员（资质等）达不到甲方合同要求的，甲方有权于当期应付服务费用中按每自然日扣减200元/人次扣减乙方服务费用，</w:t>
      </w:r>
      <w:r>
        <w:rPr>
          <w:rFonts w:hint="eastAsia" w:ascii="宋体" w:hAnsi="宋体" w:cs="宋体"/>
          <w:color w:val="auto"/>
          <w:highlight w:val="none"/>
          <w:lang w:eastAsia="zh-CN"/>
        </w:rPr>
        <w:t>甲方</w:t>
      </w:r>
      <w:r>
        <w:rPr>
          <w:rFonts w:hint="eastAsia" w:ascii="宋体" w:hAnsi="宋体" w:cs="宋体"/>
          <w:color w:val="auto"/>
          <w:highlight w:val="none"/>
        </w:rPr>
        <w:t>有权扣除乙方合同款1‰的违约金/人次。若乙方连续违约人次达到5人次或累计违约达15人次的，甲方有权单方面终止合同，且</w:t>
      </w:r>
      <w:r>
        <w:rPr>
          <w:rFonts w:hint="eastAsia" w:ascii="宋体" w:hAnsi="宋体" w:cs="宋体"/>
          <w:color w:val="auto"/>
          <w:highlight w:val="none"/>
          <w:lang w:eastAsia="zh-CN"/>
        </w:rPr>
        <w:t>所</w:t>
      </w:r>
      <w:r>
        <w:rPr>
          <w:rFonts w:hint="eastAsia" w:ascii="宋体" w:hAnsi="宋体" w:cs="宋体"/>
          <w:color w:val="auto"/>
          <w:highlight w:val="none"/>
        </w:rPr>
        <w:t>产生的损失均由乙方承担。合同期内，未经甲方同意，乙方不得随意更换人员。如乙方派出工作人员不能胜任工作，甲方保留更换人员的权利。实际投入本项目技术人员配备标准不得低于投标文件承诺配备人员标准。</w:t>
      </w:r>
    </w:p>
    <w:p w14:paraId="76CE192E">
      <w:pPr>
        <w:rPr>
          <w:rFonts w:ascii="宋体" w:hAnsi="宋体" w:cs="宋体"/>
          <w:color w:val="auto"/>
          <w:highlight w:val="none"/>
        </w:rPr>
      </w:pPr>
      <w:r>
        <w:rPr>
          <w:rFonts w:hint="eastAsia" w:ascii="宋体" w:hAnsi="宋体" w:cs="宋体"/>
          <w:color w:val="auto"/>
          <w:highlight w:val="none"/>
          <w:lang w:eastAsia="zh-CN"/>
        </w:rPr>
        <w:t>6.</w:t>
      </w:r>
      <w:r>
        <w:rPr>
          <w:rFonts w:hint="eastAsia" w:ascii="宋体" w:hAnsi="宋体" w:cs="宋体"/>
          <w:color w:val="auto"/>
          <w:highlight w:val="none"/>
        </w:rPr>
        <w:t>未经甲方书面同意，乙方不得将本合同中的全部或部分权利、义务转让给任何第三方，否则甲方有权单方解除本合同，乙方应返还甲方已支付的全部款项，并按合同总金额的【10】%向甲方支付违约金，如违约金不足以补偿甲方因此遭受的损失，乙方应继续进行赔偿。</w:t>
      </w:r>
    </w:p>
    <w:p w14:paraId="5BA90334">
      <w:pPr>
        <w:rPr>
          <w:rFonts w:ascii="宋体" w:hAnsi="宋体" w:cs="宋体"/>
          <w:color w:val="auto"/>
          <w:highlight w:val="none"/>
        </w:rPr>
      </w:pPr>
      <w:r>
        <w:rPr>
          <w:rFonts w:hint="eastAsia" w:ascii="宋体" w:hAnsi="宋体" w:cs="宋体"/>
          <w:color w:val="auto"/>
          <w:highlight w:val="none"/>
          <w:lang w:eastAsia="zh-CN"/>
        </w:rPr>
        <w:t>7.</w:t>
      </w:r>
      <w:r>
        <w:rPr>
          <w:rFonts w:hint="eastAsia" w:ascii="宋体" w:hAnsi="宋体" w:cs="宋体"/>
          <w:color w:val="auto"/>
          <w:highlight w:val="none"/>
        </w:rPr>
        <w:t>如乙方不履行或不适当履行本合同义务的，经甲方通知后在30个自然日内仍不纠正其行为，甲方有权单方解除本合同，乙方除须返还甲方已支付款项外，还应向甲方支付本合同总金额10%的违约金，如违约金不足以补偿甲方因此遭受的损失，乙方应继续进行赔偿。</w:t>
      </w:r>
    </w:p>
    <w:p w14:paraId="7DECC7B7">
      <w:pPr>
        <w:rPr>
          <w:rFonts w:ascii="宋体" w:hAnsi="宋体" w:cs="宋体"/>
          <w:color w:val="auto"/>
          <w:highlight w:val="none"/>
        </w:rPr>
      </w:pPr>
      <w:r>
        <w:rPr>
          <w:rFonts w:hint="eastAsia" w:ascii="宋体" w:hAnsi="宋体" w:cs="宋体"/>
          <w:color w:val="auto"/>
          <w:highlight w:val="none"/>
          <w:lang w:eastAsia="zh-CN"/>
        </w:rPr>
        <w:t>8.</w:t>
      </w:r>
      <w:r>
        <w:rPr>
          <w:rFonts w:hint="eastAsia" w:ascii="宋体" w:hAnsi="宋体" w:cs="宋体"/>
          <w:color w:val="auto"/>
          <w:highlight w:val="none"/>
        </w:rPr>
        <w:t>若乙方发生破产、解散、转产、停产、终止等原因导致其无法实际履行本合同中确定的义务的，甲方有权单方解除本合同，乙方应于收到甲方发出的解除通知书后3个自然日内无条件退回甲方已支付的全部款项，并向甲方支付本合同总金额【10】%的违约金。</w:t>
      </w:r>
    </w:p>
    <w:p w14:paraId="7FB6B1E9">
      <w:pPr>
        <w:rPr>
          <w:rFonts w:ascii="宋体" w:hAnsi="宋体" w:cs="宋体"/>
          <w:color w:val="auto"/>
          <w:highlight w:val="none"/>
        </w:rPr>
      </w:pPr>
      <w:r>
        <w:rPr>
          <w:rFonts w:hint="eastAsia" w:ascii="宋体" w:hAnsi="宋体" w:cs="宋体"/>
          <w:color w:val="auto"/>
          <w:highlight w:val="none"/>
          <w:lang w:eastAsia="zh-CN"/>
        </w:rPr>
        <w:t>9.</w:t>
      </w:r>
      <w:r>
        <w:rPr>
          <w:rFonts w:hint="eastAsia" w:ascii="宋体" w:hAnsi="宋体" w:cs="宋体"/>
          <w:color w:val="auto"/>
          <w:highlight w:val="none"/>
        </w:rPr>
        <w:t>乙方承诺不从事商业贿赂行为。一旦乙方被列入商业贿赂不良记录，则甲方有权立即单方解除本合同，乙方应于合同解除之日起30个自然日内向甲方返还甲方已支付的全部费用，同时乙方应向甲方支付本合同总金额【10】%的违约金。违约金不足以补偿甲方损失的，乙方应另行赔偿。</w:t>
      </w:r>
    </w:p>
    <w:p w14:paraId="1ED4305B">
      <w:pPr>
        <w:rPr>
          <w:rFonts w:ascii="宋体" w:hAnsi="宋体" w:cs="宋体"/>
          <w:color w:val="auto"/>
          <w:highlight w:val="none"/>
        </w:rPr>
      </w:pPr>
      <w:r>
        <w:rPr>
          <w:rFonts w:hint="eastAsia" w:ascii="宋体" w:hAnsi="宋体" w:cs="宋体"/>
          <w:color w:val="auto"/>
          <w:highlight w:val="none"/>
          <w:lang w:eastAsia="zh-CN"/>
        </w:rPr>
        <w:t>10.</w:t>
      </w:r>
      <w:r>
        <w:rPr>
          <w:rFonts w:hint="eastAsia" w:ascii="宋体" w:hAnsi="宋体" w:cs="宋体"/>
          <w:color w:val="auto"/>
          <w:highlight w:val="none"/>
        </w:rPr>
        <w:t>在每半年度服务结束前10个工作日内，乙方需向医院提交半年度总结报告，并组织进行用户满意度评估，对乙方半年服务质量进行包括但不限于随机抽查科室服务满意度调查等考核，考核内容分五大项评价为：上门速度、服务态度、技能水平、解决效率、整体评价，每大项评价分4小项评分为：很满意；满意；尚可；不满意，综合考核满意百分比率大于等于85%为合格（考核合格满意度指所有调查表评测项为“满意”或者“很满意”百分比率大于等于85%为合格）。评价结果不合格时，采购人有权进行单方解除本协议，每季度的考核处理应由采购人决定，乙方可依法在采购人作出决定之日起2日内提出书面异议，否则视为乙方认可采购人的决定。</w:t>
      </w:r>
    </w:p>
    <w:p w14:paraId="4D4FDE83">
      <w:pPr>
        <w:rPr>
          <w:rFonts w:ascii="宋体" w:hAnsi="宋体" w:cs="宋体"/>
          <w:color w:val="auto"/>
          <w:highlight w:val="none"/>
        </w:rPr>
      </w:pPr>
      <w:r>
        <w:rPr>
          <w:rFonts w:hint="eastAsia" w:ascii="宋体" w:hAnsi="宋体" w:cs="宋体"/>
          <w:color w:val="auto"/>
          <w:highlight w:val="none"/>
          <w:lang w:eastAsia="zh-CN"/>
        </w:rPr>
        <w:t>11.</w:t>
      </w:r>
      <w:r>
        <w:rPr>
          <w:rFonts w:hint="eastAsia" w:ascii="宋体" w:hAnsi="宋体" w:cs="宋体"/>
          <w:color w:val="auto"/>
          <w:highlight w:val="none"/>
        </w:rPr>
        <w:t>当发生上述违约责任时，双方须对违约事项和违约金进行书面确认。守约方书面告知违约方10个自然日内违约方未进行书面确认或提出异议的，视为违约方确认该违约事项及违约金。</w:t>
      </w:r>
    </w:p>
    <w:p w14:paraId="0C181E10">
      <w:pPr>
        <w:rPr>
          <w:rFonts w:ascii="宋体" w:hAnsi="宋体" w:cs="宋体"/>
          <w:color w:val="auto"/>
          <w:highlight w:val="none"/>
        </w:rPr>
      </w:pPr>
      <w:r>
        <w:rPr>
          <w:rFonts w:hint="eastAsia" w:ascii="宋体" w:hAnsi="宋体" w:cs="宋体"/>
          <w:color w:val="auto"/>
          <w:highlight w:val="none"/>
          <w:lang w:eastAsia="zh-CN"/>
        </w:rPr>
        <w:t>12.</w:t>
      </w:r>
      <w:r>
        <w:rPr>
          <w:rFonts w:hint="eastAsia" w:ascii="宋体" w:hAnsi="宋体" w:cs="宋体"/>
          <w:color w:val="auto"/>
          <w:highlight w:val="none"/>
        </w:rPr>
        <w:t>当季度服务或技术支持期内扣款</w:t>
      </w:r>
      <w:r>
        <w:rPr>
          <w:rFonts w:hint="eastAsia" w:ascii="宋体" w:hAnsi="宋体" w:cs="宋体"/>
          <w:color w:val="auto"/>
          <w:highlight w:val="none"/>
          <w:lang w:eastAsia="zh-CN"/>
        </w:rPr>
        <w:t>累计超过</w:t>
      </w:r>
      <w:r>
        <w:rPr>
          <w:rFonts w:hint="eastAsia" w:ascii="宋体" w:hAnsi="宋体" w:cs="宋体"/>
          <w:color w:val="auto"/>
          <w:highlight w:val="none"/>
        </w:rPr>
        <w:t>每年合同【20%】时，甲方有权单方解除合同并要求乙方承担相应的赔偿责任。</w:t>
      </w:r>
    </w:p>
    <w:bookmarkEnd w:id="33"/>
    <w:p w14:paraId="0E03B9A1">
      <w:pPr>
        <w:pStyle w:val="3"/>
        <w:spacing w:after="0"/>
        <w:ind w:firstLine="0" w:firstLineChars="0"/>
        <w:rPr>
          <w:rFonts w:ascii="宋体" w:hAnsi="宋体" w:cs="宋体"/>
          <w:color w:val="auto"/>
          <w:sz w:val="32"/>
          <w:szCs w:val="32"/>
          <w:highlight w:val="none"/>
        </w:rPr>
      </w:pPr>
      <w:r>
        <w:rPr>
          <w:rFonts w:hint="eastAsia" w:ascii="宋体" w:hAnsi="宋体" w:cs="宋体"/>
          <w:color w:val="auto"/>
          <w:sz w:val="32"/>
          <w:szCs w:val="32"/>
          <w:highlight w:val="none"/>
        </w:rPr>
        <w:t>六、</w:t>
      </w:r>
      <w:r>
        <w:rPr>
          <w:rFonts w:hint="eastAsia" w:ascii="宋体" w:hAnsi="宋体" w:cs="宋体"/>
          <w:b w:val="0"/>
          <w:color w:val="auto"/>
          <w:sz w:val="24"/>
          <w:highlight w:val="none"/>
        </w:rPr>
        <w:t>★</w:t>
      </w:r>
      <w:r>
        <w:rPr>
          <w:rFonts w:hint="eastAsia" w:ascii="宋体" w:hAnsi="宋体" w:cs="宋体"/>
          <w:color w:val="auto"/>
          <w:sz w:val="32"/>
          <w:szCs w:val="32"/>
          <w:highlight w:val="none"/>
        </w:rPr>
        <w:t>付款方式</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14:paraId="3FF4FFE6">
      <w:pPr>
        <w:ind w:left="1135" w:leftChars="338" w:hanging="425" w:firstLineChars="0"/>
        <w:rPr>
          <w:rFonts w:ascii="宋体" w:hAnsi="宋体" w:cs="宋体"/>
          <w:color w:val="auto"/>
          <w:highlight w:val="none"/>
        </w:rPr>
      </w:pPr>
      <w:r>
        <w:rPr>
          <w:rFonts w:hint="eastAsia" w:ascii="宋体" w:hAnsi="宋体" w:cs="宋体"/>
          <w:color w:val="auto"/>
          <w:highlight w:val="none"/>
        </w:rPr>
        <w:t>6.1. 付款方式：</w:t>
      </w:r>
    </w:p>
    <w:p w14:paraId="5BFC71AB">
      <w:pPr>
        <w:ind w:left="1340" w:leftChars="638" w:firstLine="417" w:firstLineChars="199"/>
        <w:rPr>
          <w:rFonts w:hint="eastAsia" w:ascii="宋体" w:hAnsi="宋体"/>
          <w:color w:val="000000"/>
          <w:sz w:val="21"/>
          <w:szCs w:val="21"/>
        </w:rPr>
      </w:pPr>
      <w:r>
        <w:rPr>
          <w:rFonts w:hint="eastAsia" w:ascii="宋体" w:hAnsi="宋体"/>
          <w:color w:val="000000"/>
          <w:sz w:val="21"/>
          <w:szCs w:val="21"/>
        </w:rPr>
        <w:t>1) 乙方提供服务满半年后，经甲方职能部门进行阶段服务评估，如乙方在服务期内未发生服务质量问题或乙方不履行或不当履行合同义务事项而导致甲方蒙受损失的情况，则甲方自服务评估合格</w:t>
      </w:r>
      <w:r>
        <w:rPr>
          <w:rFonts w:hint="eastAsia" w:ascii="宋体" w:hAnsi="宋体"/>
          <w:color w:val="000000"/>
          <w:sz w:val="21"/>
          <w:szCs w:val="21"/>
          <w:lang w:val="en-US" w:eastAsia="zh-CN"/>
        </w:rPr>
        <w:t>后</w:t>
      </w:r>
      <w:r>
        <w:rPr>
          <w:rFonts w:hint="eastAsia" w:ascii="宋体" w:hAnsi="宋体"/>
          <w:color w:val="000000"/>
          <w:sz w:val="21"/>
          <w:szCs w:val="21"/>
        </w:rPr>
        <w:t>，收乙方开具的等额增值税普通发票等付款材料之日起30个自然日内，甲方向乙方支付合同总金额的90%。</w:t>
      </w:r>
    </w:p>
    <w:p w14:paraId="48A1C9ED">
      <w:pPr>
        <w:ind w:left="1319" w:leftChars="628" w:firstLine="417" w:firstLineChars="199"/>
        <w:rPr>
          <w:rFonts w:hint="eastAsia" w:ascii="宋体" w:hAnsi="宋体" w:cs="宋体"/>
          <w:color w:val="auto"/>
          <w:highlight w:val="none"/>
        </w:rPr>
      </w:pPr>
      <w:r>
        <w:rPr>
          <w:rFonts w:hint="eastAsia" w:ascii="宋体" w:hAnsi="宋体"/>
          <w:color w:val="000000"/>
          <w:sz w:val="21"/>
          <w:szCs w:val="21"/>
        </w:rPr>
        <w:t>2) 乙方提供服务满1年后， 经甲方职能部门进行总体服务评估，如乙方在合同期内未发生服务质量问题或乙方不履行或不当履行合同义务事项而导致甲方蒙受损失的情况，则甲方自服务评估合格</w:t>
      </w:r>
      <w:r>
        <w:rPr>
          <w:rFonts w:hint="eastAsia" w:ascii="宋体" w:hAnsi="宋体"/>
          <w:color w:val="000000"/>
          <w:sz w:val="21"/>
          <w:szCs w:val="21"/>
          <w:lang w:val="en-US" w:eastAsia="zh-CN"/>
        </w:rPr>
        <w:t>后</w:t>
      </w:r>
      <w:r>
        <w:rPr>
          <w:rFonts w:hint="eastAsia" w:ascii="宋体" w:hAnsi="宋体"/>
          <w:color w:val="000000"/>
          <w:sz w:val="21"/>
          <w:szCs w:val="21"/>
        </w:rPr>
        <w:t>，收乙方开具的等额增值税普通发票等付款材料之日起30个自然日内，甲方向乙方支付合同总金额的10%</w:t>
      </w:r>
    </w:p>
    <w:p w14:paraId="17A5EB7B">
      <w:pPr>
        <w:ind w:left="1135" w:leftChars="338" w:hanging="425" w:firstLineChars="0"/>
        <w:rPr>
          <w:rFonts w:ascii="宋体" w:hAnsi="宋体" w:cs="宋体"/>
          <w:color w:val="auto"/>
          <w:highlight w:val="none"/>
        </w:rPr>
      </w:pPr>
      <w:r>
        <w:rPr>
          <w:rFonts w:hint="eastAsia" w:ascii="宋体" w:hAnsi="宋体" w:cs="宋体"/>
          <w:color w:val="auto"/>
          <w:highlight w:val="none"/>
        </w:rPr>
        <w:t>6.2  协议期内，若乙方有依本协议约定须扣减服务费的违约行为的，采购人有权从应付服务费中扣减相应服务费用后再予支付。</w:t>
      </w:r>
    </w:p>
    <w:p w14:paraId="53477DC9">
      <w:pPr>
        <w:ind w:left="1135" w:leftChars="338" w:hanging="425" w:firstLineChars="0"/>
        <w:rPr>
          <w:rFonts w:ascii="宋体" w:hAnsi="宋体" w:cs="宋体"/>
          <w:color w:val="auto"/>
          <w:highlight w:val="none"/>
        </w:rPr>
      </w:pPr>
      <w:r>
        <w:rPr>
          <w:rFonts w:hint="eastAsia" w:ascii="宋体" w:hAnsi="宋体" w:cs="宋体"/>
          <w:color w:val="auto"/>
          <w:highlight w:val="none"/>
        </w:rPr>
        <w:t>6.3  协议期内，若由乙方负责维修或购置协议范围外采购人的整机、零配件和耗材，其款项应按月办理结算。</w:t>
      </w:r>
    </w:p>
    <w:p w14:paraId="78B17962">
      <w:pPr>
        <w:pStyle w:val="3"/>
        <w:spacing w:after="0"/>
        <w:ind w:firstLine="0" w:firstLineChars="0"/>
        <w:rPr>
          <w:rFonts w:ascii="宋体" w:hAnsi="宋体" w:cs="宋体"/>
          <w:color w:val="auto"/>
          <w:sz w:val="32"/>
          <w:szCs w:val="32"/>
          <w:highlight w:val="none"/>
        </w:rPr>
      </w:pPr>
      <w:r>
        <w:rPr>
          <w:rFonts w:hint="eastAsia" w:ascii="宋体" w:hAnsi="宋体" w:cs="宋体"/>
          <w:color w:val="auto"/>
          <w:sz w:val="32"/>
          <w:szCs w:val="32"/>
          <w:highlight w:val="none"/>
        </w:rPr>
        <w:t>七、合同期事项</w:t>
      </w:r>
    </w:p>
    <w:p w14:paraId="4B8A9DFC">
      <w:pPr>
        <w:rPr>
          <w:rFonts w:ascii="宋体" w:hAnsi="宋体" w:cs="宋体"/>
          <w:color w:val="auto"/>
          <w:highlight w:val="none"/>
        </w:rPr>
      </w:pPr>
      <w:r>
        <w:rPr>
          <w:rFonts w:hint="eastAsia" w:ascii="宋体" w:hAnsi="宋体" w:cs="宋体"/>
          <w:color w:val="auto"/>
          <w:highlight w:val="none"/>
        </w:rPr>
        <w:t>合同期为一年。合同期间，若出现单方要求终止合约时，必须提前两个月向另一方书面提出</w:t>
      </w:r>
      <w:r>
        <w:rPr>
          <w:rFonts w:hint="eastAsia" w:ascii="宋体" w:hAnsi="宋体" w:cs="宋体"/>
          <w:color w:val="auto"/>
          <w:highlight w:val="none"/>
          <w:lang w:eastAsia="zh-CN"/>
        </w:rPr>
        <w:t>，</w:t>
      </w:r>
      <w:r>
        <w:rPr>
          <w:rFonts w:hint="eastAsia" w:ascii="宋体" w:hAnsi="宋体" w:cs="宋体"/>
          <w:color w:val="auto"/>
          <w:highlight w:val="none"/>
        </w:rPr>
        <w:t xml:space="preserve"> 另一方无异议后合同终止，保养费按终止日实际服务月数计算。</w:t>
      </w:r>
    </w:p>
    <w:p w14:paraId="1FDBB047">
      <w:pPr>
        <w:pStyle w:val="3"/>
        <w:spacing w:after="0"/>
        <w:ind w:firstLine="0" w:firstLineChars="0"/>
        <w:rPr>
          <w:rFonts w:ascii="宋体" w:hAnsi="宋体" w:cs="宋体"/>
          <w:color w:val="auto"/>
          <w:sz w:val="32"/>
          <w:szCs w:val="32"/>
          <w:highlight w:val="none"/>
        </w:rPr>
      </w:pPr>
      <w:r>
        <w:rPr>
          <w:rFonts w:hint="eastAsia" w:ascii="宋体" w:hAnsi="宋体" w:cs="宋体"/>
          <w:color w:val="auto"/>
          <w:sz w:val="32"/>
          <w:szCs w:val="32"/>
          <w:highlight w:val="none"/>
        </w:rPr>
        <w:t>八、本项目采购项目商务要求</w:t>
      </w:r>
    </w:p>
    <w:p w14:paraId="4A066491">
      <w:pPr>
        <w:pStyle w:val="22"/>
        <w:numPr>
          <w:ilvl w:val="0"/>
          <w:numId w:val="8"/>
        </w:numPr>
        <w:ind w:left="1276" w:hanging="425"/>
        <w:rPr>
          <w:rFonts w:ascii="宋体" w:hAnsi="宋体" w:cs="宋体"/>
          <w:color w:val="auto"/>
          <w:highlight w:val="none"/>
        </w:rPr>
      </w:pPr>
      <w:r>
        <w:rPr>
          <w:rFonts w:hint="eastAsia" w:ascii="宋体" w:hAnsi="宋体" w:cs="宋体"/>
          <w:color w:val="auto"/>
          <w:highlight w:val="none"/>
        </w:rPr>
        <w:t>服务及备件供应要求：详见用户需求书。</w:t>
      </w:r>
    </w:p>
    <w:p w14:paraId="724CE12B">
      <w:pPr>
        <w:pStyle w:val="22"/>
        <w:numPr>
          <w:ilvl w:val="0"/>
          <w:numId w:val="8"/>
        </w:numPr>
        <w:ind w:left="1276" w:hanging="425"/>
        <w:rPr>
          <w:rFonts w:ascii="宋体" w:hAnsi="宋体" w:cs="宋体"/>
          <w:color w:val="auto"/>
          <w:highlight w:val="none"/>
        </w:rPr>
      </w:pPr>
      <w:r>
        <w:rPr>
          <w:rFonts w:hint="eastAsia" w:ascii="宋体" w:hAnsi="宋体" w:cs="宋体"/>
          <w:color w:val="auto"/>
          <w:highlight w:val="none"/>
        </w:rPr>
        <w:t>资信要求：投标人近三年资信良好，履约能力强，没有违法记录。</w:t>
      </w:r>
    </w:p>
    <w:p w14:paraId="0A672E4D">
      <w:pPr>
        <w:pStyle w:val="22"/>
        <w:numPr>
          <w:ilvl w:val="0"/>
          <w:numId w:val="8"/>
        </w:numPr>
        <w:ind w:left="1276" w:hanging="425"/>
        <w:rPr>
          <w:rFonts w:ascii="宋体" w:hAnsi="宋体" w:cs="宋体"/>
          <w:color w:val="auto"/>
          <w:highlight w:val="none"/>
        </w:rPr>
      </w:pPr>
      <w:r>
        <w:rPr>
          <w:rFonts w:hint="eastAsia" w:ascii="宋体" w:hAnsi="宋体" w:cs="宋体"/>
          <w:color w:val="auto"/>
          <w:highlight w:val="none"/>
        </w:rPr>
        <w:t>报价要求：投标报价应为投标人完成本项目全部内容所需费用的含税价（包括但不限于人工、保险、伴随服务、拟投入工具及材料、各类税费、免费/优惠提供或未注明报价的内容以及采购合同包含的所有风险、责任等各项应有费用）。</w:t>
      </w:r>
    </w:p>
    <w:p w14:paraId="4A92BB2F">
      <w:pPr>
        <w:pStyle w:val="22"/>
        <w:numPr>
          <w:ilvl w:val="0"/>
          <w:numId w:val="9"/>
        </w:numPr>
        <w:ind w:left="1276" w:hanging="425"/>
        <w:rPr>
          <w:rFonts w:ascii="宋体" w:hAnsi="宋体" w:cs="宋体"/>
          <w:color w:val="auto"/>
          <w:highlight w:val="none"/>
        </w:rPr>
      </w:pPr>
      <w:r>
        <w:rPr>
          <w:rFonts w:hint="eastAsia" w:ascii="宋体" w:hAnsi="宋体" w:cs="宋体"/>
          <w:color w:val="auto"/>
          <w:highlight w:val="none"/>
        </w:rPr>
        <w:t>服务期：签订合同起一年。</w:t>
      </w:r>
    </w:p>
    <w:p w14:paraId="01D5468F">
      <w:pPr>
        <w:pStyle w:val="22"/>
        <w:numPr>
          <w:ilvl w:val="0"/>
          <w:numId w:val="9"/>
        </w:numPr>
        <w:ind w:left="1276" w:hanging="425"/>
        <w:rPr>
          <w:rFonts w:ascii="宋体" w:hAnsi="宋体" w:cs="宋体"/>
          <w:color w:val="auto"/>
          <w:highlight w:val="none"/>
        </w:rPr>
      </w:pPr>
      <w:r>
        <w:rPr>
          <w:rFonts w:hint="eastAsia" w:ascii="宋体" w:hAnsi="宋体" w:cs="宋体"/>
          <w:color w:val="auto"/>
          <w:highlight w:val="none"/>
        </w:rPr>
        <w:t>付款方式：依照招标文件用户需求书及合同条款中的付款方式支付。</w:t>
      </w:r>
    </w:p>
    <w:p w14:paraId="0B98CC4E">
      <w:pPr>
        <w:pStyle w:val="22"/>
        <w:numPr>
          <w:ilvl w:val="0"/>
          <w:numId w:val="9"/>
        </w:numPr>
        <w:ind w:left="1276" w:hanging="425"/>
        <w:rPr>
          <w:rFonts w:ascii="宋体" w:hAnsi="宋体" w:cs="宋体"/>
          <w:color w:val="auto"/>
          <w:highlight w:val="none"/>
        </w:rPr>
      </w:pPr>
      <w:r>
        <w:rPr>
          <w:rFonts w:hint="eastAsia" w:ascii="宋体" w:hAnsi="宋体" w:cs="宋体"/>
          <w:color w:val="auto"/>
          <w:highlight w:val="none"/>
        </w:rPr>
        <w:t>同意采购方以任何形式对我方投标文件内容及采购方认为有必要的相关资料的真实性和有效性进行审查、验证。</w:t>
      </w:r>
    </w:p>
    <w:p w14:paraId="7FE28A5F">
      <w:pPr>
        <w:rPr>
          <w:rFonts w:ascii="宋体" w:hAnsi="宋体" w:cs="宋体"/>
          <w:color w:val="auto"/>
          <w:highlight w:val="none"/>
        </w:rPr>
      </w:pPr>
      <w:r>
        <w:rPr>
          <w:rFonts w:hint="eastAsia" w:ascii="宋体" w:hAnsi="宋体" w:cs="宋体"/>
          <w:color w:val="auto"/>
          <w:highlight w:val="none"/>
        </w:rPr>
        <w:t>注：除另有说明外，上述条款有要求证明材料的，提供复印件即可；投标人提供虚假材料谋取中标、成交的，属于违法行为，将报监管部门依法处理。</w:t>
      </w:r>
    </w:p>
    <w:p w14:paraId="30E36E00">
      <w:pPr>
        <w:rPr>
          <w:rFonts w:ascii="宋体" w:hAnsi="宋体" w:cs="宋体"/>
          <w:color w:val="auto"/>
          <w:highlight w:val="none"/>
        </w:rPr>
      </w:pPr>
      <w:r>
        <w:rPr>
          <w:rFonts w:hint="eastAsia" w:ascii="宋体" w:hAnsi="宋体" w:cs="宋体"/>
          <w:color w:val="auto"/>
          <w:highlight w:val="none"/>
        </w:rPr>
        <w:t xml:space="preserve"> “甲方”“采购人”“医院”“用户”等是指：中山大学附属第一（南沙）医院；</w:t>
      </w:r>
    </w:p>
    <w:p w14:paraId="1FFFC9D9">
      <w:pPr>
        <w:rPr>
          <w:rFonts w:ascii="宋体" w:hAnsi="宋体" w:cs="宋体"/>
          <w:color w:val="auto"/>
          <w:highlight w:val="none"/>
        </w:rPr>
      </w:pPr>
      <w:r>
        <w:rPr>
          <w:rFonts w:hint="eastAsia" w:ascii="宋体" w:hAnsi="宋体" w:cs="宋体"/>
          <w:color w:val="auto"/>
          <w:highlight w:val="none"/>
        </w:rPr>
        <w:t>“乙方”“供应商”是指：投标人/中标人。</w:t>
      </w:r>
    </w:p>
    <w:p w14:paraId="32EF4720">
      <w:pPr>
        <w:pStyle w:val="2"/>
        <w:rPr>
          <w:rFonts w:ascii="宋体" w:hAnsi="宋体" w:cs="宋体"/>
          <w:color w:val="auto"/>
          <w:highlight w:val="none"/>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BFC9EE">
    <w:pPr>
      <w:pStyle w:val="11"/>
      <w:ind w:firstLine="360"/>
    </w:pPr>
    <w:r>
      <mc:AlternateContent>
        <mc:Choice Requires="wps">
          <w:drawing>
            <wp:anchor distT="0" distB="0" distL="114300" distR="114300" simplePos="0" relativeHeight="251659264" behindDoc="0" locked="0" layoutInCell="1" allowOverlap="1">
              <wp:simplePos x="0" y="0"/>
              <wp:positionH relativeFrom="margin">
                <wp:posOffset>2514600</wp:posOffset>
              </wp:positionH>
              <wp:positionV relativeFrom="paragraph">
                <wp:posOffset>0</wp:posOffset>
              </wp:positionV>
              <wp:extent cx="244475" cy="1828800"/>
              <wp:effectExtent l="0" t="0" r="0" b="6350"/>
              <wp:wrapNone/>
              <wp:docPr id="1" name="文本框 1"/>
              <wp:cNvGraphicFramePr/>
              <a:graphic xmlns:a="http://schemas.openxmlformats.org/drawingml/2006/main">
                <a:graphicData uri="http://schemas.microsoft.com/office/word/2010/wordprocessingShape">
                  <wps:wsp>
                    <wps:cNvSpPr txBox="1"/>
                    <wps:spPr>
                      <a:xfrm>
                        <a:off x="0" y="0"/>
                        <a:ext cx="244444"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EF859D">
                          <w:pPr>
                            <w:pStyle w:val="11"/>
                            <w:ind w:firstLine="360"/>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198pt;margin-top:0pt;height:144pt;width:19.25pt;mso-position-horizontal-relative:margin;z-index:251659264;mso-width-relative:page;mso-height-relative:page;" filled="f" stroked="f" coordsize="21600,21600" o:gfxdata="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CYSCGdgAAAAIAQAADwAAAAAAAAABACAAAAAiAAAAZHJzL2Rvd25yZXYueG1sUEsB&#10;AhQAFAAAAAgAh07iQPet26QuAgAAVgQAAA4AAAAAAAAAAQAgAAAAJwEAAGRycy9lMm9Eb2MueG1s&#10;UEsFBgAAAAAGAAYAWQEAAMcFAAAAAA==&#10;">
              <v:fill on="f" focussize="0,0"/>
              <v:stroke on="f" weight="0.5pt"/>
              <v:imagedata o:title=""/>
              <o:lock v:ext="edit" aspectratio="f"/>
              <v:textbox inset="0mm,0mm,0mm,0mm" style="mso-fit-shape-to-text:t;">
                <w:txbxContent>
                  <w:p w14:paraId="7AEF859D">
                    <w:pPr>
                      <w:pStyle w:val="11"/>
                      <w:ind w:firstLine="360"/>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C932E7">
    <w:pPr>
      <w:pStyle w:val="1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3C6A8">
    <w:pPr>
      <w:pStyle w:val="11"/>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BA881C">
    <w:pPr>
      <w:ind w:firstLine="0" w:firstLineChars="0"/>
      <w:rPr>
        <w:highlight w:val="yellow"/>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61901">
    <w:pPr>
      <w:pStyle w:val="1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39BAFA">
    <w:pPr>
      <w:pStyle w:val="12"/>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520C04"/>
    <w:multiLevelType w:val="singleLevel"/>
    <w:tmpl w:val="99520C04"/>
    <w:lvl w:ilvl="0" w:tentative="0">
      <w:start w:val="1"/>
      <w:numFmt w:val="decimal"/>
      <w:suff w:val="nothing"/>
      <w:lvlText w:val="（%1）"/>
      <w:lvlJc w:val="left"/>
    </w:lvl>
  </w:abstractNum>
  <w:abstractNum w:abstractNumId="1">
    <w:nsid w:val="B3A147DC"/>
    <w:multiLevelType w:val="singleLevel"/>
    <w:tmpl w:val="B3A147DC"/>
    <w:lvl w:ilvl="0" w:tentative="0">
      <w:start w:val="1"/>
      <w:numFmt w:val="decimal"/>
      <w:lvlText w:val="%1."/>
      <w:lvlJc w:val="left"/>
      <w:pPr>
        <w:tabs>
          <w:tab w:val="left" w:pos="312"/>
        </w:tabs>
      </w:pPr>
    </w:lvl>
  </w:abstractNum>
  <w:abstractNum w:abstractNumId="2">
    <w:nsid w:val="0698246C"/>
    <w:multiLevelType w:val="multilevel"/>
    <w:tmpl w:val="0698246C"/>
    <w:lvl w:ilvl="0" w:tentative="0">
      <w:start w:val="1"/>
      <w:numFmt w:val="bullet"/>
      <w:pStyle w:val="23"/>
      <w:lvlText w:val=""/>
      <w:lvlJc w:val="left"/>
      <w:pPr>
        <w:tabs>
          <w:tab w:val="left" w:pos="289"/>
        </w:tabs>
        <w:ind w:left="289" w:hanging="420"/>
      </w:pPr>
      <w:rPr>
        <w:rFonts w:hint="default" w:ascii="Wingdings" w:hAnsi="Wingdings"/>
      </w:rPr>
    </w:lvl>
    <w:lvl w:ilvl="1" w:tentative="0">
      <w:start w:val="1"/>
      <w:numFmt w:val="bullet"/>
      <w:lvlText w:val=""/>
      <w:lvlJc w:val="left"/>
      <w:pPr>
        <w:tabs>
          <w:tab w:val="left" w:pos="709"/>
        </w:tabs>
        <w:ind w:left="709" w:hanging="420"/>
      </w:pPr>
      <w:rPr>
        <w:rFonts w:hint="default" w:ascii="Wingdings" w:hAnsi="Wingdings"/>
      </w:rPr>
    </w:lvl>
    <w:lvl w:ilvl="2" w:tentative="0">
      <w:start w:val="1"/>
      <w:numFmt w:val="bullet"/>
      <w:lvlText w:val=""/>
      <w:lvlJc w:val="left"/>
      <w:pPr>
        <w:tabs>
          <w:tab w:val="left" w:pos="1129"/>
        </w:tabs>
        <w:ind w:left="1129" w:hanging="420"/>
      </w:pPr>
      <w:rPr>
        <w:rFonts w:hint="default" w:ascii="Wingdings" w:hAnsi="Wingdings"/>
      </w:rPr>
    </w:lvl>
    <w:lvl w:ilvl="3" w:tentative="0">
      <w:start w:val="1"/>
      <w:numFmt w:val="bullet"/>
      <w:lvlText w:val=""/>
      <w:lvlJc w:val="left"/>
      <w:pPr>
        <w:tabs>
          <w:tab w:val="left" w:pos="1549"/>
        </w:tabs>
        <w:ind w:left="1549" w:hanging="420"/>
      </w:pPr>
      <w:rPr>
        <w:rFonts w:hint="default" w:ascii="Wingdings" w:hAnsi="Wingdings"/>
      </w:rPr>
    </w:lvl>
    <w:lvl w:ilvl="4" w:tentative="0">
      <w:start w:val="1"/>
      <w:numFmt w:val="bullet"/>
      <w:lvlText w:val=""/>
      <w:lvlJc w:val="left"/>
      <w:pPr>
        <w:tabs>
          <w:tab w:val="left" w:pos="1969"/>
        </w:tabs>
        <w:ind w:left="1969" w:hanging="420"/>
      </w:pPr>
      <w:rPr>
        <w:rFonts w:hint="default" w:ascii="Wingdings" w:hAnsi="Wingdings"/>
      </w:rPr>
    </w:lvl>
    <w:lvl w:ilvl="5" w:tentative="0">
      <w:start w:val="1"/>
      <w:numFmt w:val="bullet"/>
      <w:lvlText w:val=""/>
      <w:lvlJc w:val="left"/>
      <w:pPr>
        <w:tabs>
          <w:tab w:val="left" w:pos="2389"/>
        </w:tabs>
        <w:ind w:left="2389" w:hanging="420"/>
      </w:pPr>
      <w:rPr>
        <w:rFonts w:hint="default" w:ascii="Wingdings" w:hAnsi="Wingdings"/>
      </w:rPr>
    </w:lvl>
    <w:lvl w:ilvl="6" w:tentative="0">
      <w:start w:val="1"/>
      <w:numFmt w:val="bullet"/>
      <w:lvlText w:val=""/>
      <w:lvlJc w:val="left"/>
      <w:pPr>
        <w:tabs>
          <w:tab w:val="left" w:pos="2809"/>
        </w:tabs>
        <w:ind w:left="2809" w:hanging="420"/>
      </w:pPr>
      <w:rPr>
        <w:rFonts w:hint="default" w:ascii="Wingdings" w:hAnsi="Wingdings"/>
      </w:rPr>
    </w:lvl>
    <w:lvl w:ilvl="7" w:tentative="0">
      <w:start w:val="1"/>
      <w:numFmt w:val="bullet"/>
      <w:lvlText w:val=""/>
      <w:lvlJc w:val="left"/>
      <w:pPr>
        <w:tabs>
          <w:tab w:val="left" w:pos="3229"/>
        </w:tabs>
        <w:ind w:left="3229" w:hanging="420"/>
      </w:pPr>
      <w:rPr>
        <w:rFonts w:hint="default" w:ascii="Wingdings" w:hAnsi="Wingdings"/>
      </w:rPr>
    </w:lvl>
    <w:lvl w:ilvl="8" w:tentative="0">
      <w:start w:val="1"/>
      <w:numFmt w:val="bullet"/>
      <w:lvlText w:val=""/>
      <w:lvlJc w:val="left"/>
      <w:pPr>
        <w:tabs>
          <w:tab w:val="left" w:pos="3649"/>
        </w:tabs>
        <w:ind w:left="3649" w:hanging="420"/>
      </w:pPr>
      <w:rPr>
        <w:rFonts w:hint="default" w:ascii="Wingdings" w:hAnsi="Wingdings"/>
      </w:rPr>
    </w:lvl>
  </w:abstractNum>
  <w:abstractNum w:abstractNumId="3">
    <w:nsid w:val="115CA196"/>
    <w:multiLevelType w:val="singleLevel"/>
    <w:tmpl w:val="115CA196"/>
    <w:lvl w:ilvl="0" w:tentative="0">
      <w:start w:val="1"/>
      <w:numFmt w:val="bullet"/>
      <w:lvlText w:val=""/>
      <w:lvlJc w:val="left"/>
      <w:pPr>
        <w:ind w:left="420" w:hanging="420"/>
      </w:pPr>
      <w:rPr>
        <w:rFonts w:hint="default" w:ascii="Wingdings" w:hAnsi="Wingdings"/>
      </w:rPr>
    </w:lvl>
  </w:abstractNum>
  <w:abstractNum w:abstractNumId="4">
    <w:nsid w:val="328ECF4A"/>
    <w:multiLevelType w:val="singleLevel"/>
    <w:tmpl w:val="328ECF4A"/>
    <w:lvl w:ilvl="0" w:tentative="0">
      <w:start w:val="4"/>
      <w:numFmt w:val="decimal"/>
      <w:suff w:val="nothing"/>
      <w:lvlText w:val="（%1）"/>
      <w:lvlJc w:val="left"/>
    </w:lvl>
  </w:abstractNum>
  <w:abstractNum w:abstractNumId="5">
    <w:nsid w:val="3BD44875"/>
    <w:multiLevelType w:val="singleLevel"/>
    <w:tmpl w:val="3BD44875"/>
    <w:lvl w:ilvl="0" w:tentative="0">
      <w:start w:val="1"/>
      <w:numFmt w:val="bullet"/>
      <w:lvlText w:val=""/>
      <w:lvlJc w:val="left"/>
      <w:pPr>
        <w:ind w:left="420" w:hanging="420"/>
      </w:pPr>
      <w:rPr>
        <w:rFonts w:hint="default" w:ascii="Wingdings" w:hAnsi="Wingdings"/>
      </w:rPr>
    </w:lvl>
  </w:abstractNum>
  <w:abstractNum w:abstractNumId="6">
    <w:nsid w:val="662F5BA0"/>
    <w:multiLevelType w:val="multilevel"/>
    <w:tmpl w:val="662F5BA0"/>
    <w:lvl w:ilvl="0" w:tentative="0">
      <w:start w:val="1"/>
      <w:numFmt w:val="decimal"/>
      <w:lvlText w:val="%1、"/>
      <w:lvlJc w:val="left"/>
      <w:pPr>
        <w:ind w:left="3621" w:hanging="360"/>
      </w:pPr>
      <w:rPr>
        <w:rFonts w:hAnsi="宋体"/>
      </w:rPr>
    </w:lvl>
    <w:lvl w:ilvl="1" w:tentative="0">
      <w:start w:val="1"/>
      <w:numFmt w:val="lowerLetter"/>
      <w:lvlText w:val="%2)"/>
      <w:lvlJc w:val="left"/>
      <w:pPr>
        <w:ind w:left="1197" w:hanging="420"/>
      </w:pPr>
    </w:lvl>
    <w:lvl w:ilvl="2" w:tentative="0">
      <w:start w:val="1"/>
      <w:numFmt w:val="lowerRoman"/>
      <w:lvlText w:val="%3."/>
      <w:lvlJc w:val="right"/>
      <w:pPr>
        <w:ind w:left="1617" w:hanging="420"/>
      </w:pPr>
    </w:lvl>
    <w:lvl w:ilvl="3" w:tentative="0">
      <w:start w:val="1"/>
      <w:numFmt w:val="decimal"/>
      <w:lvlText w:val="%4."/>
      <w:lvlJc w:val="left"/>
      <w:pPr>
        <w:ind w:left="2037" w:hanging="420"/>
      </w:pPr>
    </w:lvl>
    <w:lvl w:ilvl="4" w:tentative="0">
      <w:start w:val="1"/>
      <w:numFmt w:val="lowerLetter"/>
      <w:lvlText w:val="%5)"/>
      <w:lvlJc w:val="left"/>
      <w:pPr>
        <w:ind w:left="2457" w:hanging="420"/>
      </w:pPr>
    </w:lvl>
    <w:lvl w:ilvl="5" w:tentative="0">
      <w:start w:val="1"/>
      <w:numFmt w:val="lowerRoman"/>
      <w:lvlText w:val="%6."/>
      <w:lvlJc w:val="right"/>
      <w:pPr>
        <w:ind w:left="2877" w:hanging="420"/>
      </w:pPr>
    </w:lvl>
    <w:lvl w:ilvl="6" w:tentative="0">
      <w:start w:val="1"/>
      <w:numFmt w:val="decimal"/>
      <w:lvlText w:val="%7."/>
      <w:lvlJc w:val="left"/>
      <w:pPr>
        <w:ind w:left="3297" w:hanging="420"/>
      </w:pPr>
    </w:lvl>
    <w:lvl w:ilvl="7" w:tentative="0">
      <w:start w:val="1"/>
      <w:numFmt w:val="lowerLetter"/>
      <w:lvlText w:val="%8)"/>
      <w:lvlJc w:val="left"/>
      <w:pPr>
        <w:ind w:left="3717" w:hanging="420"/>
      </w:pPr>
    </w:lvl>
    <w:lvl w:ilvl="8" w:tentative="0">
      <w:start w:val="1"/>
      <w:numFmt w:val="lowerRoman"/>
      <w:lvlText w:val="%9."/>
      <w:lvlJc w:val="right"/>
      <w:pPr>
        <w:ind w:left="4137" w:hanging="420"/>
      </w:pPr>
    </w:lvl>
  </w:abstractNum>
  <w:abstractNum w:abstractNumId="7">
    <w:nsid w:val="6CA963F8"/>
    <w:multiLevelType w:val="multilevel"/>
    <w:tmpl w:val="6CA963F8"/>
    <w:lvl w:ilvl="0" w:tentative="0">
      <w:start w:val="1"/>
      <w:numFmt w:val="bullet"/>
      <w:pStyle w:val="22"/>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7"/>
  </w:num>
  <w:num w:numId="2">
    <w:abstractNumId w:val="2"/>
  </w:num>
  <w:num w:numId="3">
    <w:abstractNumId w:val="5"/>
  </w:num>
  <w:num w:numId="4">
    <w:abstractNumId w:val="3"/>
  </w:num>
  <w:num w:numId="5">
    <w:abstractNumId w:val="1"/>
  </w:num>
  <w:num w:numId="6">
    <w:abstractNumId w:val="0"/>
  </w:num>
  <w:num w:numId="7">
    <w:abstractNumId w:val="4"/>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FCC"/>
    <w:rsid w:val="00005B21"/>
    <w:rsid w:val="000075C9"/>
    <w:rsid w:val="000243FA"/>
    <w:rsid w:val="00053B84"/>
    <w:rsid w:val="00072AA0"/>
    <w:rsid w:val="0008048B"/>
    <w:rsid w:val="00083E77"/>
    <w:rsid w:val="000976E7"/>
    <w:rsid w:val="000C6A08"/>
    <w:rsid w:val="000D4CB0"/>
    <w:rsid w:val="00107A8D"/>
    <w:rsid w:val="00133653"/>
    <w:rsid w:val="0015672B"/>
    <w:rsid w:val="00165535"/>
    <w:rsid w:val="00193B54"/>
    <w:rsid w:val="001B5EE8"/>
    <w:rsid w:val="001E063D"/>
    <w:rsid w:val="001E6976"/>
    <w:rsid w:val="002051E0"/>
    <w:rsid w:val="0020584A"/>
    <w:rsid w:val="002206C5"/>
    <w:rsid w:val="00221A65"/>
    <w:rsid w:val="00253DFF"/>
    <w:rsid w:val="0026376A"/>
    <w:rsid w:val="00271401"/>
    <w:rsid w:val="0029353F"/>
    <w:rsid w:val="002A4074"/>
    <w:rsid w:val="002B085E"/>
    <w:rsid w:val="002B412B"/>
    <w:rsid w:val="002D0572"/>
    <w:rsid w:val="002D5E35"/>
    <w:rsid w:val="002F3417"/>
    <w:rsid w:val="00305420"/>
    <w:rsid w:val="003264B7"/>
    <w:rsid w:val="00335535"/>
    <w:rsid w:val="00356D89"/>
    <w:rsid w:val="00384910"/>
    <w:rsid w:val="00397C76"/>
    <w:rsid w:val="003D6563"/>
    <w:rsid w:val="003F38A4"/>
    <w:rsid w:val="00402D3F"/>
    <w:rsid w:val="00415C42"/>
    <w:rsid w:val="004670B7"/>
    <w:rsid w:val="00472759"/>
    <w:rsid w:val="00476FF9"/>
    <w:rsid w:val="00497138"/>
    <w:rsid w:val="004E04C2"/>
    <w:rsid w:val="004F3585"/>
    <w:rsid w:val="0051650D"/>
    <w:rsid w:val="00535CF5"/>
    <w:rsid w:val="00561137"/>
    <w:rsid w:val="00565459"/>
    <w:rsid w:val="0057161D"/>
    <w:rsid w:val="00577C88"/>
    <w:rsid w:val="00580FF3"/>
    <w:rsid w:val="005864FE"/>
    <w:rsid w:val="005A216A"/>
    <w:rsid w:val="005B2F7B"/>
    <w:rsid w:val="005E033E"/>
    <w:rsid w:val="005E5F6B"/>
    <w:rsid w:val="00607D37"/>
    <w:rsid w:val="00614D07"/>
    <w:rsid w:val="00630B0E"/>
    <w:rsid w:val="006325AE"/>
    <w:rsid w:val="00641716"/>
    <w:rsid w:val="00660FC1"/>
    <w:rsid w:val="00664358"/>
    <w:rsid w:val="00693047"/>
    <w:rsid w:val="006A0EB7"/>
    <w:rsid w:val="006D320F"/>
    <w:rsid w:val="006D3D7D"/>
    <w:rsid w:val="006E4F40"/>
    <w:rsid w:val="006F10CB"/>
    <w:rsid w:val="006F12B8"/>
    <w:rsid w:val="006F1998"/>
    <w:rsid w:val="007038A6"/>
    <w:rsid w:val="00720C9F"/>
    <w:rsid w:val="00722A61"/>
    <w:rsid w:val="007305AC"/>
    <w:rsid w:val="00763FB1"/>
    <w:rsid w:val="007716C3"/>
    <w:rsid w:val="00793230"/>
    <w:rsid w:val="007A2DBD"/>
    <w:rsid w:val="007B05E4"/>
    <w:rsid w:val="007B6396"/>
    <w:rsid w:val="007E1F33"/>
    <w:rsid w:val="007F4CB4"/>
    <w:rsid w:val="008111C5"/>
    <w:rsid w:val="00815FB5"/>
    <w:rsid w:val="00833B24"/>
    <w:rsid w:val="00834DD9"/>
    <w:rsid w:val="00844237"/>
    <w:rsid w:val="008A7636"/>
    <w:rsid w:val="008B684B"/>
    <w:rsid w:val="008D39FA"/>
    <w:rsid w:val="008D4974"/>
    <w:rsid w:val="009173A3"/>
    <w:rsid w:val="00924DEA"/>
    <w:rsid w:val="009433B6"/>
    <w:rsid w:val="00987D1D"/>
    <w:rsid w:val="009A0583"/>
    <w:rsid w:val="009B4ED0"/>
    <w:rsid w:val="009D6FCC"/>
    <w:rsid w:val="009E2CB5"/>
    <w:rsid w:val="009F156C"/>
    <w:rsid w:val="009F49F5"/>
    <w:rsid w:val="00A04DA2"/>
    <w:rsid w:val="00A20E37"/>
    <w:rsid w:val="00A27F3E"/>
    <w:rsid w:val="00A4797E"/>
    <w:rsid w:val="00A93BC8"/>
    <w:rsid w:val="00AA0CB5"/>
    <w:rsid w:val="00AD583F"/>
    <w:rsid w:val="00AE7A12"/>
    <w:rsid w:val="00AF4C0C"/>
    <w:rsid w:val="00B354C8"/>
    <w:rsid w:val="00B72F12"/>
    <w:rsid w:val="00B83D3E"/>
    <w:rsid w:val="00B8479D"/>
    <w:rsid w:val="00BA0DB4"/>
    <w:rsid w:val="00BA4E0B"/>
    <w:rsid w:val="00BB6B84"/>
    <w:rsid w:val="00BC089C"/>
    <w:rsid w:val="00BC16C7"/>
    <w:rsid w:val="00BE018C"/>
    <w:rsid w:val="00BF15C1"/>
    <w:rsid w:val="00BF402D"/>
    <w:rsid w:val="00C02395"/>
    <w:rsid w:val="00C055C3"/>
    <w:rsid w:val="00C14FA5"/>
    <w:rsid w:val="00C5630F"/>
    <w:rsid w:val="00C6400D"/>
    <w:rsid w:val="00C72F38"/>
    <w:rsid w:val="00CB10F3"/>
    <w:rsid w:val="00CC2083"/>
    <w:rsid w:val="00CC4DFA"/>
    <w:rsid w:val="00CC5E4C"/>
    <w:rsid w:val="00CD6F91"/>
    <w:rsid w:val="00D065E6"/>
    <w:rsid w:val="00D2542C"/>
    <w:rsid w:val="00D626A3"/>
    <w:rsid w:val="00D63CD5"/>
    <w:rsid w:val="00D821D5"/>
    <w:rsid w:val="00D863A1"/>
    <w:rsid w:val="00D93B74"/>
    <w:rsid w:val="00DA31F5"/>
    <w:rsid w:val="00DA5CB4"/>
    <w:rsid w:val="00DC626C"/>
    <w:rsid w:val="00DC694E"/>
    <w:rsid w:val="00DD3AD6"/>
    <w:rsid w:val="00DE1BDE"/>
    <w:rsid w:val="00DE61D0"/>
    <w:rsid w:val="00DF201B"/>
    <w:rsid w:val="00E12ABF"/>
    <w:rsid w:val="00E276AD"/>
    <w:rsid w:val="00E30DC9"/>
    <w:rsid w:val="00E468B3"/>
    <w:rsid w:val="00E561E9"/>
    <w:rsid w:val="00E56EE1"/>
    <w:rsid w:val="00E83287"/>
    <w:rsid w:val="00E83D9C"/>
    <w:rsid w:val="00E83F72"/>
    <w:rsid w:val="00EB6A00"/>
    <w:rsid w:val="00EE4B3F"/>
    <w:rsid w:val="00F00F9F"/>
    <w:rsid w:val="00F3023B"/>
    <w:rsid w:val="00F55D10"/>
    <w:rsid w:val="00F63F21"/>
    <w:rsid w:val="00F95DD2"/>
    <w:rsid w:val="00F967CB"/>
    <w:rsid w:val="00FD352C"/>
    <w:rsid w:val="00FE7A2D"/>
    <w:rsid w:val="00FF54D0"/>
    <w:rsid w:val="05241B93"/>
    <w:rsid w:val="055A62EE"/>
    <w:rsid w:val="07D536F9"/>
    <w:rsid w:val="0C0620F8"/>
    <w:rsid w:val="0F1F78B0"/>
    <w:rsid w:val="0FEA2588"/>
    <w:rsid w:val="12573AA0"/>
    <w:rsid w:val="12E3738C"/>
    <w:rsid w:val="15FF20D3"/>
    <w:rsid w:val="17A81B5F"/>
    <w:rsid w:val="1D68774F"/>
    <w:rsid w:val="1DA026D8"/>
    <w:rsid w:val="208C266E"/>
    <w:rsid w:val="21A74592"/>
    <w:rsid w:val="21D47322"/>
    <w:rsid w:val="262B3AC4"/>
    <w:rsid w:val="2B255215"/>
    <w:rsid w:val="2C4229A0"/>
    <w:rsid w:val="2F830AFE"/>
    <w:rsid w:val="30275F10"/>
    <w:rsid w:val="3321456C"/>
    <w:rsid w:val="33D7599C"/>
    <w:rsid w:val="3B516A51"/>
    <w:rsid w:val="3B7DC124"/>
    <w:rsid w:val="3CCB693B"/>
    <w:rsid w:val="3D87186A"/>
    <w:rsid w:val="3FA23805"/>
    <w:rsid w:val="3FBA2EE2"/>
    <w:rsid w:val="43341B51"/>
    <w:rsid w:val="45B386BD"/>
    <w:rsid w:val="4D4A1C5C"/>
    <w:rsid w:val="4E9C3D33"/>
    <w:rsid w:val="50015E9A"/>
    <w:rsid w:val="505D6C27"/>
    <w:rsid w:val="56CF92EE"/>
    <w:rsid w:val="572C2443"/>
    <w:rsid w:val="5B0867BA"/>
    <w:rsid w:val="5B4D44BC"/>
    <w:rsid w:val="60D80E81"/>
    <w:rsid w:val="62B44D7C"/>
    <w:rsid w:val="63AF3918"/>
    <w:rsid w:val="652A264F"/>
    <w:rsid w:val="6784366C"/>
    <w:rsid w:val="67FFE62A"/>
    <w:rsid w:val="68275C7A"/>
    <w:rsid w:val="689005C2"/>
    <w:rsid w:val="6DE36237"/>
    <w:rsid w:val="6F283F1A"/>
    <w:rsid w:val="72345C8F"/>
    <w:rsid w:val="764540C6"/>
    <w:rsid w:val="77F56CA3"/>
    <w:rsid w:val="7CDA37E3"/>
    <w:rsid w:val="7CFFDF22"/>
    <w:rsid w:val="7DC9372F"/>
    <w:rsid w:val="7FDE776C"/>
    <w:rsid w:val="8FFE1CC4"/>
    <w:rsid w:val="B4FF0A6D"/>
    <w:rsid w:val="DF58F008"/>
    <w:rsid w:val="E5FB9A38"/>
    <w:rsid w:val="EFB9CCC1"/>
    <w:rsid w:val="F7EAB64D"/>
    <w:rsid w:val="FD7F4A0C"/>
    <w:rsid w:val="FF7B021C"/>
    <w:rsid w:val="FF7F4B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360" w:lineRule="auto"/>
      <w:ind w:firstLine="420" w:firstLineChars="200"/>
    </w:pPr>
    <w:rPr>
      <w:rFonts w:ascii="Calibri" w:hAnsi="Calibri" w:eastAsia="宋体" w:cs="Times New Roman"/>
      <w:sz w:val="21"/>
      <w:szCs w:val="21"/>
      <w:lang w:val="en-US" w:eastAsia="zh-CN" w:bidi="ar-SA"/>
    </w:rPr>
  </w:style>
  <w:style w:type="paragraph" w:styleId="3">
    <w:name w:val="heading 1"/>
    <w:basedOn w:val="1"/>
    <w:next w:val="1"/>
    <w:link w:val="29"/>
    <w:qFormat/>
    <w:uiPriority w:val="99"/>
    <w:pPr>
      <w:keepNext/>
      <w:keepLines/>
      <w:spacing w:before="340" w:after="330" w:line="576" w:lineRule="auto"/>
      <w:outlineLvl w:val="0"/>
    </w:pPr>
    <w:rPr>
      <w:b/>
      <w:bCs/>
      <w:kern w:val="44"/>
      <w:sz w:val="44"/>
      <w:szCs w:val="44"/>
    </w:rPr>
  </w:style>
  <w:style w:type="paragraph" w:styleId="4">
    <w:name w:val="heading 2"/>
    <w:basedOn w:val="1"/>
    <w:next w:val="1"/>
    <w:qFormat/>
    <w:uiPriority w:val="0"/>
    <w:pPr>
      <w:keepNext/>
      <w:keepLines/>
      <w:adjustRightInd w:val="0"/>
      <w:snapToGrid w:val="0"/>
      <w:spacing w:before="50" w:beforeLines="50" w:after="50" w:afterLines="50"/>
      <w:outlineLvl w:val="1"/>
    </w:pPr>
    <w:rPr>
      <w:rFonts w:ascii="宋体" w:hAnsi="宋体"/>
      <w:b/>
      <w:sz w:val="24"/>
      <w:szCs w:val="32"/>
    </w:rPr>
  </w:style>
  <w:style w:type="paragraph" w:styleId="5">
    <w:name w:val="heading 3"/>
    <w:basedOn w:val="1"/>
    <w:next w:val="1"/>
    <w:qFormat/>
    <w:uiPriority w:val="9"/>
    <w:pPr>
      <w:widowControl w:val="0"/>
      <w:tabs>
        <w:tab w:val="left" w:pos="851"/>
      </w:tabs>
      <w:autoSpaceDE w:val="0"/>
      <w:autoSpaceDN w:val="0"/>
      <w:adjustRightInd w:val="0"/>
      <w:snapToGrid w:val="0"/>
      <w:spacing w:before="50" w:beforeLines="50" w:after="50" w:afterLines="50"/>
      <w:outlineLvl w:val="2"/>
    </w:pPr>
    <w:rPr>
      <w:b/>
      <w:bCs/>
      <w:sz w:val="24"/>
      <w:szCs w:val="32"/>
    </w:rPr>
  </w:style>
  <w:style w:type="paragraph" w:styleId="6">
    <w:name w:val="heading 4"/>
    <w:basedOn w:val="1"/>
    <w:next w:val="1"/>
    <w:qFormat/>
    <w:uiPriority w:val="0"/>
    <w:pPr>
      <w:widowControl w:val="0"/>
      <w:autoSpaceDE w:val="0"/>
      <w:autoSpaceDN w:val="0"/>
      <w:adjustRightInd w:val="0"/>
      <w:snapToGrid w:val="0"/>
      <w:spacing w:before="50" w:beforeLines="50" w:after="50" w:afterLines="50"/>
      <w:outlineLvl w:val="3"/>
    </w:pPr>
    <w:rPr>
      <w:rFonts w:ascii="宋体" w:hAnsi="宋体"/>
      <w:b/>
      <w:color w:val="000000"/>
      <w:sz w:val="24"/>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7">
    <w:name w:val="Normal Indent"/>
    <w:basedOn w:val="1"/>
    <w:qFormat/>
    <w:uiPriority w:val="0"/>
    <w:rPr>
      <w:rFonts w:ascii="宋体" w:hAnsi="宋体"/>
      <w:sz w:val="24"/>
      <w:szCs w:val="24"/>
    </w:rPr>
  </w:style>
  <w:style w:type="paragraph" w:styleId="8">
    <w:name w:val="annotation text"/>
    <w:basedOn w:val="1"/>
    <w:link w:val="26"/>
    <w:qFormat/>
    <w:uiPriority w:val="99"/>
  </w:style>
  <w:style w:type="paragraph" w:styleId="9">
    <w:name w:val="Plain Text"/>
    <w:basedOn w:val="1"/>
    <w:qFormat/>
    <w:uiPriority w:val="0"/>
    <w:rPr>
      <w:rFonts w:ascii="宋体" w:hAnsi="Courier New"/>
    </w:rPr>
  </w:style>
  <w:style w:type="paragraph" w:styleId="10">
    <w:name w:val="Balloon Text"/>
    <w:basedOn w:val="1"/>
    <w:link w:val="28"/>
    <w:qFormat/>
    <w:uiPriority w:val="0"/>
    <w:rPr>
      <w:sz w:val="18"/>
      <w:szCs w:val="18"/>
    </w:rPr>
  </w:style>
  <w:style w:type="paragraph" w:styleId="11">
    <w:name w:val="footer"/>
    <w:basedOn w:val="1"/>
    <w:qFormat/>
    <w:uiPriority w:val="99"/>
    <w:pPr>
      <w:tabs>
        <w:tab w:val="center" w:pos="4153"/>
        <w:tab w:val="right" w:pos="8306"/>
      </w:tabs>
      <w:snapToGrid w:val="0"/>
    </w:pPr>
    <w:rPr>
      <w:sz w:val="18"/>
      <w:szCs w:val="18"/>
    </w:rPr>
  </w:style>
  <w:style w:type="paragraph" w:styleId="12">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qFormat/>
    <w:uiPriority w:val="99"/>
    <w:pPr>
      <w:spacing w:before="100" w:beforeAutospacing="1" w:after="100" w:afterAutospacing="1"/>
    </w:pPr>
    <w:rPr>
      <w:rFonts w:ascii="宋体" w:hAnsi="宋体"/>
      <w:color w:val="000000"/>
      <w:sz w:val="24"/>
    </w:rPr>
  </w:style>
  <w:style w:type="paragraph" w:styleId="14">
    <w:name w:val="annotation subject"/>
    <w:basedOn w:val="8"/>
    <w:next w:val="8"/>
    <w:link w:val="27"/>
    <w:qFormat/>
    <w:uiPriority w:val="0"/>
    <w:rPr>
      <w:b/>
      <w:bCs/>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Hyperlink"/>
    <w:basedOn w:val="17"/>
    <w:qFormat/>
    <w:uiPriority w:val="0"/>
    <w:rPr>
      <w:color w:val="0000FF"/>
      <w:u w:val="single"/>
    </w:rPr>
  </w:style>
  <w:style w:type="character" w:styleId="20">
    <w:name w:val="annotation reference"/>
    <w:basedOn w:val="17"/>
    <w:qFormat/>
    <w:uiPriority w:val="99"/>
    <w:rPr>
      <w:sz w:val="21"/>
      <w:szCs w:val="21"/>
    </w:rPr>
  </w:style>
  <w:style w:type="paragraph" w:customStyle="1" w:styleId="21">
    <w:name w:val="正文_0"/>
    <w:qFormat/>
    <w:uiPriority w:val="0"/>
    <w:pPr>
      <w:widowControl w:val="0"/>
      <w:spacing w:line="360" w:lineRule="auto"/>
      <w:ind w:firstLine="420" w:firstLineChars="200"/>
      <w:jc w:val="both"/>
    </w:pPr>
    <w:rPr>
      <w:rFonts w:ascii="Calibri" w:hAnsi="Calibri" w:eastAsia="宋体" w:cs="Times New Roman"/>
      <w:kern w:val="2"/>
      <w:sz w:val="21"/>
      <w:szCs w:val="24"/>
      <w:lang w:val="en-US" w:eastAsia="zh-CN" w:bidi="ar-SA"/>
    </w:rPr>
  </w:style>
  <w:style w:type="paragraph" w:customStyle="1" w:styleId="22">
    <w:name w:val="列表段落1"/>
    <w:basedOn w:val="1"/>
    <w:qFormat/>
    <w:uiPriority w:val="34"/>
    <w:pPr>
      <w:numPr>
        <w:ilvl w:val="0"/>
        <w:numId w:val="1"/>
      </w:numPr>
      <w:ind w:firstLine="0" w:firstLineChars="0"/>
    </w:pPr>
  </w:style>
  <w:style w:type="paragraph" w:customStyle="1" w:styleId="23">
    <w:name w:val="样式 标题 3Heading 3 - oldH33h3l3CT3rd levelHead 3二级节名Leve...1"/>
    <w:basedOn w:val="5"/>
    <w:qFormat/>
    <w:uiPriority w:val="0"/>
    <w:pPr>
      <w:numPr>
        <w:ilvl w:val="0"/>
        <w:numId w:val="2"/>
      </w:numPr>
      <w:tabs>
        <w:tab w:val="clear" w:pos="851"/>
      </w:tabs>
      <w:spacing w:before="0" w:after="0"/>
      <w:jc w:val="both"/>
      <w:outlineLvl w:val="9"/>
    </w:pPr>
    <w:rPr>
      <w:rFonts w:ascii="宋体" w:hAnsi="宋体"/>
      <w:szCs w:val="24"/>
    </w:rPr>
  </w:style>
  <w:style w:type="paragraph" w:customStyle="1" w:styleId="24">
    <w:name w:val="无间隔1"/>
    <w:qFormat/>
    <w:uiPriority w:val="99"/>
    <w:rPr>
      <w:rFonts w:ascii="Times New Roman" w:hAnsi="Times New Roman" w:eastAsia="宋体" w:cs="Calibri"/>
      <w:sz w:val="22"/>
      <w:szCs w:val="22"/>
      <w:lang w:val="en-US" w:eastAsia="en-US" w:bidi="ar-SA"/>
    </w:rPr>
  </w:style>
  <w:style w:type="paragraph" w:customStyle="1" w:styleId="25">
    <w:name w:val="表格文字"/>
    <w:basedOn w:val="1"/>
    <w:qFormat/>
    <w:uiPriority w:val="0"/>
    <w:pPr>
      <w:spacing w:before="25" w:after="25"/>
    </w:pPr>
    <w:rPr>
      <w:bCs/>
      <w:spacing w:val="10"/>
      <w:sz w:val="24"/>
    </w:rPr>
  </w:style>
  <w:style w:type="character" w:customStyle="1" w:styleId="26">
    <w:name w:val="批注文字 字符"/>
    <w:basedOn w:val="17"/>
    <w:link w:val="8"/>
    <w:qFormat/>
    <w:uiPriority w:val="99"/>
    <w:rPr>
      <w:rFonts w:ascii="Calibri" w:hAnsi="Calibri"/>
      <w:sz w:val="21"/>
      <w:szCs w:val="21"/>
    </w:rPr>
  </w:style>
  <w:style w:type="character" w:customStyle="1" w:styleId="27">
    <w:name w:val="批注主题 字符"/>
    <w:basedOn w:val="26"/>
    <w:link w:val="14"/>
    <w:qFormat/>
    <w:uiPriority w:val="0"/>
    <w:rPr>
      <w:rFonts w:ascii="Calibri" w:hAnsi="Calibri"/>
      <w:b/>
      <w:bCs/>
      <w:sz w:val="21"/>
      <w:szCs w:val="21"/>
    </w:rPr>
  </w:style>
  <w:style w:type="character" w:customStyle="1" w:styleId="28">
    <w:name w:val="批注框文本 字符"/>
    <w:basedOn w:val="17"/>
    <w:link w:val="10"/>
    <w:qFormat/>
    <w:uiPriority w:val="0"/>
    <w:rPr>
      <w:rFonts w:ascii="Calibri" w:hAnsi="Calibri"/>
      <w:sz w:val="18"/>
      <w:szCs w:val="18"/>
    </w:rPr>
  </w:style>
  <w:style w:type="character" w:customStyle="1" w:styleId="29">
    <w:name w:val="标题 1 字符"/>
    <w:basedOn w:val="17"/>
    <w:link w:val="3"/>
    <w:qFormat/>
    <w:uiPriority w:val="99"/>
    <w:rPr>
      <w:rFonts w:ascii="Calibri" w:hAnsi="Calibri"/>
      <w:b/>
      <w:bCs/>
      <w:kern w:val="44"/>
      <w:sz w:val="44"/>
      <w:szCs w:val="44"/>
    </w:rPr>
  </w:style>
  <w:style w:type="paragraph" w:customStyle="1" w:styleId="30">
    <w:name w:val="方案正文"/>
    <w:basedOn w:val="1"/>
    <w:qFormat/>
    <w:uiPriority w:val="0"/>
    <w:pPr>
      <w:ind w:firstLine="643"/>
    </w:pPr>
    <w:rPr>
      <w:rFonts w:ascii="Times New Roman" w:hAnsi="Times New Roman"/>
    </w:rPr>
  </w:style>
  <w:style w:type="paragraph" w:customStyle="1" w:styleId="31">
    <w:name w:val="paragraph"/>
    <w:basedOn w:val="1"/>
    <w:semiHidden/>
    <w:qFormat/>
    <w:uiPriority w:val="0"/>
    <w:pPr>
      <w:spacing w:before="100" w:beforeAutospacing="1" w:after="100" w:afterAutospacing="1"/>
    </w:pPr>
    <w:rPr>
      <w:rFonts w:ascii="等线" w:hAnsi="等线" w:eastAsia="等线"/>
      <w:sz w:val="24"/>
      <w:szCs w:val="24"/>
    </w:rPr>
  </w:style>
  <w:style w:type="paragraph" w:customStyle="1" w:styleId="32">
    <w:name w:val="修订1"/>
    <w:hidden/>
    <w:semiHidden/>
    <w:qFormat/>
    <w:uiPriority w:val="99"/>
    <w:rPr>
      <w:rFonts w:ascii="Calibri" w:hAnsi="Calibri" w:eastAsia="宋体" w:cs="Times New Roman"/>
      <w:sz w:val="21"/>
      <w:szCs w:val="21"/>
      <w:lang w:val="en-US" w:eastAsia="zh-CN" w:bidi="ar-SA"/>
    </w:rPr>
  </w:style>
  <w:style w:type="paragraph" w:customStyle="1" w:styleId="33">
    <w:name w:val="修订2"/>
    <w:hidden/>
    <w:unhideWhenUsed/>
    <w:qFormat/>
    <w:uiPriority w:val="99"/>
    <w:rPr>
      <w:rFonts w:ascii="Calibri" w:hAnsi="Calibri" w:eastAsia="宋体" w:cs="Times New Roman"/>
      <w:sz w:val="21"/>
      <w:szCs w:val="21"/>
      <w:lang w:val="en-US" w:eastAsia="zh-CN" w:bidi="ar-SA"/>
    </w:rPr>
  </w:style>
  <w:style w:type="paragraph" w:customStyle="1" w:styleId="34">
    <w:name w:val="修订3"/>
    <w:hidden/>
    <w:semiHidden/>
    <w:qFormat/>
    <w:uiPriority w:val="99"/>
    <w:rPr>
      <w:rFonts w:ascii="Calibri" w:hAnsi="Calibri" w:eastAsia="宋体" w:cs="Times New Roman"/>
      <w:sz w:val="21"/>
      <w:szCs w:val="21"/>
      <w:lang w:val="en-US" w:eastAsia="zh-CN" w:bidi="ar-SA"/>
    </w:rPr>
  </w:style>
  <w:style w:type="character" w:customStyle="1" w:styleId="35">
    <w:name w:val="cos-line-clamp-3"/>
    <w:basedOn w:val="17"/>
    <w:qFormat/>
    <w:uiPriority w:val="0"/>
  </w:style>
  <w:style w:type="character" w:customStyle="1" w:styleId="36">
    <w:name w:val="cos-line-clamp-2"/>
    <w:basedOn w:val="17"/>
    <w:qFormat/>
    <w:uiPriority w:val="0"/>
  </w:style>
  <w:style w:type="paragraph" w:customStyle="1" w:styleId="37">
    <w:name w:val="修订4"/>
    <w:hidden/>
    <w:unhideWhenUsed/>
    <w:qFormat/>
    <w:uiPriority w:val="99"/>
    <w:rPr>
      <w:rFonts w:ascii="Calibri" w:hAnsi="Calibri" w:eastAsia="宋体" w:cs="Times New Roman"/>
      <w:sz w:val="21"/>
      <w:szCs w:val="21"/>
      <w:lang w:val="en-US" w:eastAsia="zh-CN" w:bidi="ar-SA"/>
    </w:rPr>
  </w:style>
  <w:style w:type="paragraph" w:customStyle="1" w:styleId="38">
    <w:name w:val="修订5"/>
    <w:hidden/>
    <w:unhideWhenUsed/>
    <w:qFormat/>
    <w:uiPriority w:val="99"/>
    <w:rPr>
      <w:rFonts w:ascii="Calibri" w:hAnsi="Calibri" w:eastAsia="宋体" w:cs="Times New Roman"/>
      <w:sz w:val="21"/>
      <w:szCs w:val="21"/>
      <w:lang w:val="en-US" w:eastAsia="zh-CN" w:bidi="ar-SA"/>
    </w:rPr>
  </w:style>
  <w:style w:type="paragraph" w:customStyle="1" w:styleId="39">
    <w:name w:val="修订6"/>
    <w:hidden/>
    <w:unhideWhenUsed/>
    <w:qFormat/>
    <w:uiPriority w:val="99"/>
    <w:rPr>
      <w:rFonts w:ascii="Calibri" w:hAnsi="Calibri" w:eastAsia="宋体" w:cs="Times New Roman"/>
      <w:sz w:val="21"/>
      <w:szCs w:val="21"/>
      <w:lang w:val="en-US" w:eastAsia="zh-CN" w:bidi="ar-SA"/>
    </w:rPr>
  </w:style>
  <w:style w:type="paragraph" w:customStyle="1" w:styleId="40">
    <w:name w:val="修订7"/>
    <w:hidden/>
    <w:unhideWhenUsed/>
    <w:qFormat/>
    <w:uiPriority w:val="99"/>
    <w:rPr>
      <w:rFonts w:ascii="Calibri" w:hAnsi="Calibri" w:eastAsia="宋体" w:cs="Times New Roman"/>
      <w:sz w:val="21"/>
      <w:szCs w:val="21"/>
      <w:lang w:val="en-US" w:eastAsia="zh-CN" w:bidi="ar-SA"/>
    </w:rPr>
  </w:style>
  <w:style w:type="paragraph" w:customStyle="1" w:styleId="41">
    <w:name w:val="修订8"/>
    <w:hidden/>
    <w:unhideWhenUsed/>
    <w:qFormat/>
    <w:uiPriority w:val="99"/>
    <w:rPr>
      <w:rFonts w:ascii="Calibri" w:hAnsi="Calibri" w:eastAsia="宋体" w:cs="Times New Roman"/>
      <w:sz w:val="21"/>
      <w:szCs w:val="21"/>
      <w:lang w:val="en-US" w:eastAsia="zh-CN" w:bidi="ar-SA"/>
    </w:rPr>
  </w:style>
  <w:style w:type="paragraph" w:customStyle="1" w:styleId="42">
    <w:name w:val="修订9"/>
    <w:hidden/>
    <w:unhideWhenUsed/>
    <w:qFormat/>
    <w:uiPriority w:val="99"/>
    <w:rPr>
      <w:rFonts w:ascii="Calibri" w:hAnsi="Calibri" w:eastAsia="宋体" w:cs="Times New Roman"/>
      <w:sz w:val="21"/>
      <w:szCs w:val="21"/>
      <w:lang w:val="en-US" w:eastAsia="zh-CN" w:bidi="ar-SA"/>
    </w:rPr>
  </w:style>
  <w:style w:type="paragraph" w:customStyle="1" w:styleId="43">
    <w:name w:val="修订10"/>
    <w:hidden/>
    <w:unhideWhenUsed/>
    <w:qFormat/>
    <w:uiPriority w:val="99"/>
    <w:rPr>
      <w:rFonts w:ascii="Calibri" w:hAnsi="Calibri" w:eastAsia="宋体" w:cs="Times New Roman"/>
      <w:sz w:val="21"/>
      <w:szCs w:val="21"/>
      <w:lang w:val="en-US" w:eastAsia="zh-CN" w:bidi="ar-SA"/>
    </w:rPr>
  </w:style>
  <w:style w:type="paragraph" w:customStyle="1" w:styleId="44">
    <w:name w:val="修订11"/>
    <w:hidden/>
    <w:unhideWhenUsed/>
    <w:qFormat/>
    <w:uiPriority w:val="99"/>
    <w:rPr>
      <w:rFonts w:ascii="Calibri" w:hAnsi="Calibri" w:eastAsia="宋体" w:cs="Times New Roman"/>
      <w:sz w:val="21"/>
      <w:szCs w:val="21"/>
      <w:lang w:val="en-US" w:eastAsia="zh-CN" w:bidi="ar-SA"/>
    </w:rPr>
  </w:style>
  <w:style w:type="paragraph" w:customStyle="1" w:styleId="45">
    <w:name w:val="Revision"/>
    <w:hidden/>
    <w:semiHidden/>
    <w:qFormat/>
    <w:uiPriority w:val="99"/>
    <w:rPr>
      <w:rFonts w:ascii="Calibri" w:hAnsi="Calibri" w:eastAsia="宋体" w:cs="Times New Roman"/>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9cd27315-2c04-4627-81fe-4cfe43ddfa22</errorID>
      <errorWord>将直接影响到</errorWord>
      <group>L1_Word</group>
      <groupName>字词问题</groupName>
      <ability>L2_Typo</ability>
      <abilityName>字词错误</abilityName>
      <candidateList>
        <item>将直接影响</item>
      </candidateList>
      <explain/>
      <paraID>5CC10BED</paraID>
      <start>44</start>
      <end>49</end>
      <status>modified</status>
      <modifiedWord>将直接影响</modifiedWord>
      <trackRevisions>false</trackRevisions>
    </reviewItem>
    <reviewItem>
      <errorID>492030a4-0db8-4b8c-bf82-fa19f329bd8e</errorID>
      <errorWord>的</errorWord>
      <group>L1_Word</group>
      <groupName>字词问题</groupName>
      <ability>L2_DDD</ability>
      <abilityName>的地得用法</abilityName>
      <candidateList>
        <item>地</item>
      </candidateList>
      <explain/>
      <paraID>5CC10BED</paraID>
      <start>149</start>
      <end>150</end>
      <status>modified</status>
      <modifiedWord>地</modifiedWord>
      <trackRevisions>false</trackRevisions>
    </reviewItem>
    <reviewItem>
      <errorID>6397a170-9128-4288-9c3a-2a1edb227790</errorID>
      <errorWord>,</errorWord>
      <group>L1_Format</group>
      <groupName>格式问题</groupName>
      <ability>L2_HalfPunc_CN</ability>
      <abilityName>全半角问题</abilityName>
      <candidateList>
        <item>，</item>
      </candidateList>
      <explain>文本全半角错误。</explain>
      <paraID>5CC10BED</paraID>
      <start>178</start>
      <end>179</end>
      <status>modified</status>
      <modifiedWord>，</modifiedWord>
      <trackRevisions>false</trackRevisions>
    </reviewItem>
    <reviewItem>
      <errorID>9a3d15e1-4068-4dc1-a721-bbb912a7ac55</errorID>
      <errorWord>签定</errorWord>
      <group>L1_Word</group>
      <groupName>字词问题</groupName>
      <ability>L2_Typo</ability>
      <abilityName>字词错误</abilityName>
      <candidateList>
        <item>签订</item>
      </candidateList>
      <explain/>
      <paraID>1757FDEA</paraID>
      <start>26</start>
      <end>28</end>
      <status>modified</status>
      <modifiedWord>签订</modifiedWord>
      <trackRevisions>false</trackRevisions>
    </reviewItem>
    <reviewItem>
      <errorID>888c1f9c-db39-44f0-b6f1-5ee22dfd1526</errorID>
      <errorWord>的</errorWord>
      <group>L1_Word</group>
      <groupName>字词问题</groupName>
      <ability>L2_DDD</ability>
      <abilityName>的地得用法</abilityName>
      <candidateList>
        <item>地</item>
      </candidateList>
      <explain/>
      <paraID>30373DA3</paraID>
      <start>37</start>
      <end>38</end>
      <status>modified</status>
      <modifiedWord>地</modifiedWord>
      <trackRevisions>false</trackRevisions>
    </reviewItem>
    <reviewItem>
      <errorID>4560ad8a-a847-4132-8bec-bb64af81c326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29A2360A</paraID>
      <start>11</start>
      <end>12</end>
      <status>modified</status>
      <modifiedWord>—</modifiedWord>
      <trackRevisions>false</trackRevisions>
    </reviewItem>
    <reviewItem>
      <errorID>3c090e7a-0693-4f9a-8102-d9d571eaac24</errorID>
      <errorWord>主要的</errorWord>
      <group>L1_Word</group>
      <groupName>字词问题</groupName>
      <ability>L2_Typo</ability>
      <abilityName>字词错误</abilityName>
      <candidateList>
        <item>主要</item>
      </candidateList>
      <explain/>
      <paraID>6505E258</paraID>
      <start>23</start>
      <end>25</end>
      <status>modified</status>
      <modifiedWord>主要</modifiedWord>
      <trackRevisions>false</trackRevisions>
    </reviewItem>
    <reviewItem>
      <errorID>20cf96c3-b5ce-466d-b099-251bde0df3cc</errorID>
      <errorWord>:</errorWord>
      <group>L1_Format</group>
      <groupName>格式问题</groupName>
      <ability>L2_HalfPunc_CN</ability>
      <abilityName>全半角问题</abilityName>
      <candidateList>
        <item>：</item>
      </candidateList>
      <explain>文本全半角错误。</explain>
      <paraID>6505E258</paraID>
      <start>29</start>
      <end>30</end>
      <status>modified</status>
      <modifiedWord>：</modifiedWord>
      <trackRevisions>false</trackRevisions>
    </reviewItem>
    <reviewItem>
      <errorID>6a0011a9-df9b-4ae1-946e-00941ab61f98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2DC94980</paraID>
      <start>0</start>
      <end>3</end>
      <status>modified</status>
      <modifiedWord>（1）</modifiedWord>
      <trackRevisions>false</trackRevisions>
    </reviewItem>
    <reviewItem>
      <errorID>42c3ff9f-0b6e-495f-ad62-d0afd885d5b9</errorID>
      <errorWord>项</errorWord>
      <group>L1_Knowledge</group>
      <groupName>知识性问题</groupName>
      <ability>L2_Knowledge</ability>
      <abilityName>其他知识</abilityName>
      <candidateList>
        <item>行</item>
      </candidateList>
      <explain>请检查“项”是否为量词使用错误，建议修改为“行”。</explain>
      <paraID>1E156CD3</paraID>
      <start>58</start>
      <end>59</end>
      <status>modified</status>
      <modifiedWord>行</modifiedWord>
      <trackRevisions>false</trackRevisions>
    </reviewItem>
    <reviewItem>
      <errorID>0cffe221-9b0b-49de-8193-c19c83347f02</errorID>
      <errorWord>,</errorWord>
      <group>L1_Format</group>
      <groupName>格式问题</groupName>
      <ability>L2_HalfPunc_CN</ability>
      <abilityName>全半角问题</abilityName>
      <candidateList>
        <item>，</item>
      </candidateList>
      <explain>文本全半角错误。</explain>
      <paraID>36FC8C68</paraID>
      <start>90</start>
      <end>91</end>
      <status>modified</status>
      <modifiedWord>，</modifiedWord>
      <trackRevisions>false</trackRevisions>
    </reviewItem>
    <reviewItem>
      <errorID>eb9cd6a4-8b6f-4005-9cef-08065abf9b4c</errorID>
      <errorWord>做</errorWord>
      <group>L1_Word</group>
      <groupName>字词问题</groupName>
      <ability>L2_Typo</ability>
      <abilityName>字词错误</abilityName>
      <candidateList>
        <item>做好</item>
      </candidateList>
      <explain/>
      <paraID>3E59FE4D</paraID>
      <start>48</start>
      <end>50</end>
      <status>modified</status>
      <modifiedWord>做好</modifiedWord>
      <trackRevisions>false</trackRevisions>
    </reviewItem>
    <reviewItem>
      <errorID>dd05c68d-75a9-4bdb-ad1d-705befd23e5d</errorID>
      <errorWord>的</errorWord>
      <group>L1_Word</group>
      <groupName>字词问题</groupName>
      <ability>L2_DDD</ability>
      <abilityName>的地得用法</abilityName>
      <candidateList>
        <item>地</item>
      </candidateList>
      <explain/>
      <paraID>4132C3B8</paraID>
      <start>7</start>
      <end>8</end>
      <status>modified</status>
      <modifiedWord>地</modifiedWord>
      <trackRevisions>false</trackRevisions>
    </reviewItem>
    <reviewItem>
      <errorID>7016b2f3-df3d-4eab-8d95-c4081b7a980e</errorID>
      <errorWord>报障</errorWord>
      <group>L1_Word</group>
      <groupName>字词问题</groupName>
      <ability>L2_Typo</ability>
      <abilityName>字词错误</abilityName>
      <candidateList>
        <item>保障</item>
      </candidateList>
      <explain/>
      <paraID>20BEC19A</paraID>
      <start>24</start>
      <end>26</end>
      <status>ignored</status>
      <modifiedWord/>
      <trackRevisions>false</trackRevisions>
    </reviewItem>
    <reviewItem>
      <errorID>b2446343-faeb-45e2-89e1-ad883da1672a</errorID>
      <errorWord>报障</errorWord>
      <group>L1_Word</group>
      <groupName>字词问题</groupName>
      <ability>L2_Typo</ability>
      <abilityName>字词错误</abilityName>
      <candidateList>
        <item>保障</item>
      </candidateList>
      <explain/>
      <paraID>5115F5BB</paraID>
      <start>50</start>
      <end>52</end>
      <status>modified</status>
      <modifiedWord>保障</modifiedWord>
      <trackRevisions>false</trackRevisions>
    </reviewItem>
    <reviewItem>
      <errorID>badb47cd-51ff-4760-99c8-5783eb352a10</errorID>
      <errorWord>属</errorWord>
      <group>L1_Word</group>
      <groupName>字词问题</groupName>
      <ability>L2_Typo</ability>
      <abilityName>字词错误</abilityName>
      <candidateList>
        <item>属于</item>
      </candidateList>
      <explain/>
      <paraID>  BD951D</paraID>
      <start>30</start>
      <end>32</end>
      <status>modified</status>
      <modifiedWord>属于</modifiedWord>
      <trackRevisions>false</trackRevisions>
    </reviewItem>
    <reviewItem>
      <errorID>4bf451dd-c883-4449-a784-5529383216d9</errorID>
      <errorWord>包</errorWord>
      <group>L1_Word</group>
      <groupName>字词问题</groupName>
      <ability>L2_Typo</ability>
      <abilityName>字词错误</abilityName>
      <candidateList>
        <item>包括</item>
      </candidateList>
      <explain/>
      <paraID> 1A81CA1</paraID>
      <start>94</start>
      <end>96</end>
      <status>modified</status>
      <modifiedWord>包括</modifiedWord>
      <trackRevisions>false</trackRevisions>
    </reviewItem>
    <reviewItem>
      <errorID>17ccf08a-737c-4de2-ae5a-f7389fef45e4</errorID>
      <errorWord>包</errorWord>
      <group>L1_Word</group>
      <groupName>字词问题</groupName>
      <ability>L2_Typo</ability>
      <abilityName>字词错误</abilityName>
      <candidateList>
        <item>包括</item>
      </candidateList>
      <explain/>
      <paraID>4C1D0330</paraID>
      <start>81</start>
      <end>83</end>
      <status>modified</status>
      <modifiedWord>包括</modifiedWord>
      <trackRevisions>false</trackRevisions>
    </reviewItem>
    <reviewItem>
      <errorID>2502ede6-3b23-4697-8ed1-7f82a8ef144c</errorID>
      <errorWord>包</errorWord>
      <group>L1_Word</group>
      <groupName>字词问题</groupName>
      <ability>L2_Typo</ability>
      <abilityName>字词错误</abilityName>
      <candidateList>
        <item>包括</item>
      </candidateList>
      <explain/>
      <paraID>46620520</paraID>
      <start>93</start>
      <end>95</end>
      <status>modified</status>
      <modifiedWord>包括</modifiedWord>
      <trackRevisions>false</trackRevisions>
    </reviewItem>
    <reviewItem>
      <errorID>05feada6-6ff2-4bbc-9de1-8f8e6365d2e0</errorID>
      <errorWord>旋扭</errorWord>
      <group>L1_Word</group>
      <groupName>字词问题</groupName>
      <ability>L2_Typo</ability>
      <abilityName>字词错误</abilityName>
      <candidateList>
        <item>旋钮</item>
      </candidateList>
      <explain/>
      <paraID>71B040B2</paraID>
      <start>38</start>
      <end>40</end>
      <status>modified</status>
      <modifiedWord>旋钮</modifiedWord>
      <trackRevisions>false</trackRevisions>
    </reviewItem>
    <reviewItem>
      <errorID>b2c3a794-0900-4e44-b533-dff4a51ffdd7</errorID>
      <errorWord>包</errorWord>
      <group>L1_Word</group>
      <groupName>字词问题</groupName>
      <ability>L2_Typo</ability>
      <abilityName>字词错误</abilityName>
      <candidateList>
        <item>包括</item>
      </candidateList>
      <explain/>
      <paraID>71B040B2</paraID>
      <start>74</start>
      <end>76</end>
      <status>modified</status>
      <modifiedWord>包括</modifiedWord>
      <trackRevisions>false</trackRevisions>
    </reviewItem>
    <reviewItem>
      <errorID>a514a002-a399-44d0-85b9-1d5d09b68e56</errorID>
      <errorWord>原搞</errorWord>
      <group>L1_Word</group>
      <groupName>字词问题</groupName>
      <ability>L2_Typo</ability>
      <abilityName>字词错误</abilityName>
      <candidateList>
        <item>原稿</item>
      </candidateList>
      <explain>存在发音相同字词的误用。</explain>
      <paraID>59380041</paraID>
      <start>22</start>
      <end>24</end>
      <status>modified</status>
      <modifiedWord>原稿</modifiedWord>
      <trackRevisions>false</trackRevisions>
    </reviewItem>
    <reviewItem>
      <errorID>6749aa81-226e-4afa-8e03-956af4c96757</errorID>
      <errorWord>包</errorWord>
      <group>L1_Word</group>
      <groupName>字词问题</groupName>
      <ability>L2_Typo</ability>
      <abilityName>字词错误</abilityName>
      <candidateList>
        <item>包括</item>
      </candidateList>
      <explain/>
      <paraID>59380041</paraID>
      <start>72</start>
      <end>74</end>
      <status>modified</status>
      <modifiedWord>包括</modifiedWord>
      <trackRevisions>false</trackRevisions>
    </reviewItem>
    <reviewItem>
      <errorID>3c5c0e74-d7d7-4819-89d6-73a969d4b535</errorID>
      <errorWord>墨合</errorWord>
      <group>L1_Word</group>
      <groupName>字词问题</groupName>
      <ability>L2_Typo</ability>
      <abilityName>字词错误</abilityName>
      <candidateList>
        <item>墨盒</item>
      </candidateList>
      <explain>存在发音相同字词的误用。</explain>
      <paraID>59380041</paraID>
      <start>88</start>
      <end>90</end>
      <status>modified</status>
      <modifiedWord>墨盒</modifiedWord>
      <trackRevisions>false</trackRevisions>
    </reviewItem>
    <reviewItem>
      <errorID>1f186ef2-566e-4b15-89a3-f9b96111cf83</errorID>
      <errorWord>(</errorWord>
      <group>L1_Format</group>
      <groupName>格式问题</groupName>
      <ability>L2_HalfPunc_CN</ability>
      <abilityName>全半角问题</abilityName>
      <candidateList>
        <item>（</item>
      </candidateList>
      <explain>文本全半角错误。</explain>
      <paraID>1F1C7BC3</paraID>
      <start>37</start>
      <end>38</end>
      <status>modified</status>
      <modifiedWord>（</modifiedWord>
      <trackRevisions>false</trackRevisions>
    </reviewItem>
    <reviewItem>
      <errorID>1fe195cc-85b2-4596-920c-50a2b9792887</errorID>
      <errorWord>包</errorWord>
      <group>L1_Word</group>
      <groupName>字词问题</groupName>
      <ability>L2_Typo</ability>
      <abilityName>字词错误</abilityName>
      <candidateList>
        <item>包括</item>
      </candidateList>
      <explain/>
      <paraID>1F1C7BC3</paraID>
      <start>39</start>
      <end>41</end>
      <status>modified</status>
      <modifiedWord>包括</modifiedWord>
      <trackRevisions>false</trackRevisions>
    </reviewItem>
    <reviewItem>
      <errorID>fe578de0-2302-46b8-a4a8-e0f1713960f7</errorID>
      <errorWord>)</errorWord>
      <group>L1_Format</group>
      <groupName>格式问题</groupName>
      <ability>L2_HalfPunc_CN</ability>
      <abilityName>全半角问题</abilityName>
      <candidateList>
        <item>）</item>
      </candidateList>
      <explain>文本全半角错误。</explain>
      <paraID>1F1C7BC3</paraID>
      <start>53</start>
      <end>54</end>
      <status>modified</status>
      <modifiedWord>）</modifiedWord>
      <trackRevisions>false</trackRevisions>
    </reviewItem>
    <reviewItem>
      <errorID>9219561a-e1e6-4c24-912b-323181e2e050</errorID>
      <errorWord>包</errorWord>
      <group>L1_Word</group>
      <groupName>字词问题</groupName>
      <ability>L2_Typo</ability>
      <abilityName>字词错误</abilityName>
      <candidateList>
        <item>包括</item>
      </candidateList>
      <explain/>
      <paraID>3E0490A6</paraID>
      <start>149</start>
      <end>151</end>
      <status>modified</status>
      <modifiedWord>包括</modifiedWord>
      <trackRevisions>false</trackRevisions>
    </reviewItem>
    <reviewItem>
      <errorID>4ce197a9-e03f-4b91-a0a3-45006c2a4fca</errorID>
      <errorWord>如</errorWord>
      <group>L1_Word</group>
      <groupName>字词问题</groupName>
      <ability>L2_Typo</ability>
      <abilityName>字词错误</abilityName>
      <candidateList>
        <item>如有</item>
      </candidateList>
      <explain/>
      <paraID>12C3AF08</paraID>
      <start>0</start>
      <end>2</end>
      <status>modified</status>
      <modifiedWord>如有</modifiedWord>
      <trackRevisions>false</trackRevisions>
    </reviewItem>
    <reviewItem>
      <errorID>3e90115a-9173-4ddc-b7fd-e4c6e78196f7</errorID>
      <errorWord>）</errorWord>
      <group>L1_Word</group>
      <groupName>字词问题</groupName>
      <ability>L2_Typo</ability>
      <abilityName>字词错误</abilityName>
      <candidateList>
        <item>）设</item>
      </candidateList>
      <explain/>
      <paraID>743E5801</paraID>
      <start>2</start>
      <end>4</end>
      <status>modified</status>
      <modifiedWord>）设</modifiedWord>
      <trackRevisions>false</trackRevisions>
    </reviewItem>
    <reviewItem>
      <errorID>f321345a-4f40-41b9-9ee1-059b74f6318e</errorID>
      <errorWord>一齐</errorWord>
      <group>L1_Word</group>
      <groupName>字词问题</groupName>
      <ability>L2_Typo</ability>
      <abilityName>字词错误</abilityName>
      <candidateList>
        <item>一起</item>
      </candidateList>
      <explain/>
      <paraID>2ED7F33A</paraID>
      <start>87</start>
      <end>89</end>
      <status>modified</status>
      <modifiedWord>一起</modifiedWord>
      <trackRevisions>false</trackRevisions>
    </reviewItem>
    <reviewItem>
      <errorID>e23e630c-a737-405e-b992-0e2d6de6079f</errorID>
      <errorWord>,</errorWord>
      <group>L1_Format</group>
      <groupName>格式问题</groupName>
      <ability>L2_HalfPunc_CN</ability>
      <abilityName>全半角问题</abilityName>
      <candidateList>
        <item>，</item>
      </candidateList>
      <explain>文本全半角错误。</explain>
      <paraID>536D08E0</paraID>
      <start>15</start>
      <end>16</end>
      <status>modified</status>
      <modifiedWord>，</modifiedWord>
      <trackRevisions>false</trackRevisions>
    </reviewItem>
    <reviewItem>
      <errorID>b3222c41-57bb-4dc3-871b-2a4521091932</errorID>
      <errorWord>,</errorWord>
      <group>L1_Format</group>
      <groupName>格式问题</groupName>
      <ability>L2_HalfPunc_CN</ability>
      <abilityName>全半角问题</abilityName>
      <candidateList>
        <item>，</item>
      </candidateList>
      <explain>文本全半角错误。</explain>
      <paraID>536D08E0</paraID>
      <start>24</start>
      <end>25</end>
      <status>modified</status>
      <modifiedWord>，</modifiedWord>
      <trackRevisions>false</trackRevisions>
    </reviewItem>
    <reviewItem>
      <errorID>72617e00-535a-4125-8fda-29250b4e119b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32404BE8</paraID>
      <start>0</start>
      <end>2</end>
      <status>modified</status>
      <modifiedWord>2.</modifiedWord>
      <trackRevisions>false</trackRevisions>
    </reviewItem>
    <reviewItem>
      <errorID>9ec279a3-96e8-4285-8f17-3d66ecb5294f</errorID>
      <errorWord>(</errorWord>
      <group>L1_Format</group>
      <groupName>格式问题</groupName>
      <ability>L2_HalfPunc_CN</ability>
      <abilityName>全半角问题</abilityName>
      <candidateList>
        <item>（</item>
      </candidateList>
      <explain>文本全半角错误。</explain>
      <paraID>6C106ABB</paraID>
      <start>67</start>
      <end>68</end>
      <status>modified</status>
      <modifiedWord>（</modifiedWord>
      <trackRevisions>false</trackRevisions>
    </reviewItem>
    <reviewItem>
      <errorID>1f69a96d-30e5-44b7-bf03-59be873eed0e</errorID>
      <errorWord>)</errorWord>
      <group>L1_Format</group>
      <groupName>格式问题</groupName>
      <ability>L2_HalfPunc_CN</ability>
      <abilityName>全半角问题</abilityName>
      <candidateList>
        <item>）</item>
      </candidateList>
      <explain>文本全半角错误。</explain>
      <paraID>6C106ABB</paraID>
      <start>83</start>
      <end>84</end>
      <status>modified</status>
      <modifiedWord>）</modifiedWord>
      <trackRevisions>false</trackRevisions>
    </reviewItem>
    <reviewItem>
      <errorID>8360aeb5-7eb9-4bf3-a884-305fd5869c23</errorID>
      <errorWord>，</errorWord>
      <group>L1_Word</group>
      <groupName>字词问题</groupName>
      <ability>L2_Typo</ability>
      <abilityName>字词错误</abilityName>
      <candidateList>
        <item>，具</item>
      </candidateList>
      <explain/>
      <paraID>200306C9</paraID>
      <start>50</start>
      <end>52</end>
      <status>modified</status>
      <modifiedWord>，具</modifiedWord>
      <trackRevisions>false</trackRevisions>
    </reviewItem>
    <reviewItem>
      <errorID>d6fb03f2-95b4-4a7d-8be6-8700853c2d8c</errorID>
      <errorWord>负责对</errorWord>
      <group>L1_Word</group>
      <groupName>字词问题</groupName>
      <ability>L2_Typo</ability>
      <abilityName>字词错误</abilityName>
      <candidateList>
        <item>负责</item>
      </candidateList>
      <explain/>
      <paraID>216647D4</paraID>
      <start>0</start>
      <end>3</end>
      <status>modified</status>
      <modifiedWord>负责</modifiedWord>
      <trackRevisions>false</trackRevisions>
    </reviewItem>
    <reviewItem>
      <errorID>a6b901bb-54cf-43f6-b0dc-fbe0bcadbd2b</errorID>
      <errorWord>：</errorWord>
      <group>L1_Format</group>
      <groupName>格式问题</groupName>
      <ability>L2_HalfPunc_CN</ability>
      <abilityName>全半角问题</abilityName>
      <candidateList>
        <item>:</item>
      </candidateList>
      <explain>文本全半角错误。</explain>
      <paraID>59CD3A0E</paraID>
      <start>18</start>
      <end>19</end>
      <status>modified</status>
      <modifiedWord>:</modifiedWord>
      <trackRevisions>false</trackRevisions>
    </reviewItem>
    <reviewItem>
      <errorID>5d4a8a13-00c4-4761-9b4b-c717a381a733</errorID>
      <errorWord>：</errorWord>
      <group>L1_Format</group>
      <groupName>格式问题</groupName>
      <ability>L2_HalfPunc_CN</ability>
      <abilityName>全半角问题</abilityName>
      <candidateList>
        <item>:</item>
      </candidateList>
      <explain>文本全半角错误。</explain>
      <paraID>59CD3A0E</paraID>
      <start>27</start>
      <end>28</end>
      <status>modified</status>
      <modifiedWord>:</modifiedWord>
      <trackRevisions>false</trackRevisions>
    </reviewItem>
    <reviewItem>
      <errorID>39d01657-242e-4775-b30c-1dd17bfda19c</errorID>
      <errorWord>-</errorWord>
      <group>L1_Format</group>
      <groupName>格式问题</groupName>
      <ability>L2_HalfPunc_CN</ability>
      <abilityName>全半角问题</abilityName>
      <candidateList>
        <item>－</item>
      </candidateList>
      <explain>文本全半角错误。</explain>
      <paraID>59CD3A0E</paraID>
      <start>30</start>
      <end>31</end>
      <status>modified</status>
      <modifiedWord>－</modifiedWord>
      <trackRevisions>false</trackRevisions>
    </reviewItem>
    <reviewItem>
      <errorID>fe8692a9-eb35-4ea1-aa18-8a2f21a0d867</errorID>
      <errorWord>：</errorWord>
      <group>L1_Format</group>
      <groupName>格式问题</groupName>
      <ability>L2_HalfPunc_CN</ability>
      <abilityName>全半角问题</abilityName>
      <candidateList>
        <item>:</item>
      </candidateList>
      <explain>文本全半角错误。</explain>
      <paraID>59CD3A0E</paraID>
      <start>34</start>
      <end>35</end>
      <status>modified</status>
      <modifiedWord>:</modifiedWord>
      <trackRevisions>false</trackRevisions>
    </reviewItem>
    <reviewItem>
      <errorID>856ac83f-fc38-4294-87d1-a98ea470a395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D2C62B8</paraID>
      <start>0</start>
      <end>2</end>
      <status>modified</status>
      <modifiedWord>4.</modifiedWord>
      <trackRevisions>false</trackRevisions>
    </reviewItem>
    <reviewItem>
      <errorID>46235e35-8a3f-4e0a-a543-abcc8a56f52e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2AD23069</paraID>
      <start>0</start>
      <end>2</end>
      <status>modified</status>
      <modifiedWord>1.</modifiedWord>
      <trackRevisions>false</trackRevisions>
    </reviewItem>
    <reviewItem>
      <errorID>20b54b42-3250-4ded-b5c5-278ae59e78a2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4A6ACE1A</paraID>
      <start>0</start>
      <end>2</end>
      <status>modified</status>
      <modifiedWord>2.</modifiedWord>
      <trackRevisions>false</trackRevisions>
    </reviewItem>
    <reviewItem>
      <errorID>fa74fd98-69e5-446b-bc64-c9bcdbff3f07</errorID>
      <errorWord>、或</errorWord>
      <group>L1_Word</group>
      <groupName>字词问题</groupName>
      <ability>L2_Typo</ability>
      <abilityName>字词错误</abilityName>
      <candidateList>
        <item>或</item>
      </candidateList>
      <explain/>
      <paraID>44AAA718</paraID>
      <start>54</start>
      <end>55</end>
      <status>modified</status>
      <modifiedWord>或</modifiedWord>
      <trackRevisions>false</trackRevisions>
    </reviewItem>
    <reviewItem>
      <errorID>e2c43361-6dcc-4836-9208-acd87375a641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61D923C6</paraID>
      <start>0</start>
      <end>2</end>
      <status>modified</status>
      <modifiedWord>3.</modifiedWord>
      <trackRevisions>false</trackRevisions>
    </reviewItem>
    <reviewItem>
      <errorID>ac7eedb0-f87c-40bc-86fc-f31871d2d990</errorID>
      <errorWord>:</errorWord>
      <group>L1_Format</group>
      <groupName>格式问题</groupName>
      <ability>L2_HalfPunc_CN</ability>
      <abilityName>全半角问题</abilityName>
      <candidateList>
        <item>：</item>
      </candidateList>
      <explain>文本全半角错误。</explain>
      <paraID>38026ECF</paraID>
      <start>11</start>
      <end>12</end>
      <status>modified</status>
      <modifiedWord>：</modifiedWord>
      <trackRevisions>false</trackRevisions>
    </reviewItem>
    <reviewItem>
      <errorID>6608ff6a-f5a9-4656-a9be-d56a45892611</errorID>
      <errorWord>:</errorWord>
      <group>L1_Format</group>
      <groupName>格式问题</groupName>
      <ability>L2_HalfPunc_CN</ability>
      <abilityName>全半角问题</abilityName>
      <candidateList>
        <item>：</item>
      </candidateList>
      <explain>文本全半角错误。</explain>
      <paraID>53CF36F6</paraID>
      <start>12</start>
      <end>13</end>
      <status>modified</status>
      <modifiedWord>：</modifiedWord>
      <trackRevisions>false</trackRevisions>
    </reviewItem>
    <reviewItem>
      <errorID>cc367e21-380b-4cc5-a085-7b210238a03b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4BFE0C87</paraID>
      <start>0</start>
      <end>2</end>
      <status>modified</status>
      <modifiedWord>1.</modifiedWord>
      <trackRevisions>false</trackRevisions>
    </reviewItem>
    <reviewItem>
      <errorID>1fa20a13-1b60-44ff-9584-83ab46af8d76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6C337F0B</paraID>
      <start>0</start>
      <end>2</end>
      <status>modified</status>
      <modifiedWord>2.</modifiedWord>
      <trackRevisions>false</trackRevisions>
    </reviewItem>
    <reviewItem>
      <errorID>c670ac62-ccc3-4e50-a39e-56ac52303948</errorID>
      <errorWord>DELL</errorWord>
      <group>L1_English</group>
      <groupName>英文问题</groupName>
      <ability>L2_Case</ability>
      <abilityName>大小写问题</abilityName>
      <candidateList>
        <item>Dell</item>
      </candidateList>
      <explain>疑似单词大小写错误，建议将DELL修改为Dell</explain>
      <paraID>3813E922</paraID>
      <start>0</start>
      <end>4</end>
      <status>modified</status>
      <modifiedWord>Dell</modifiedWord>
      <trackRevisions>false</trackRevisions>
    </reviewItem>
    <reviewItem>
      <errorID>c3fa23d9-4b5d-43bc-b67d-1bf75b69008e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75E2B83C</paraID>
      <start>1</start>
      <end>2</end>
      <status>modified</status>
      <modifiedWord>—</modifiedWord>
      <trackRevisions>false</trackRevisions>
    </reviewItem>
    <reviewItem>
      <errorID>4180d305-403b-4745-a0be-f896f1e0a617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6BC43056</paraID>
      <start>1</start>
      <end>2</end>
      <status>modified</status>
      <modifiedWord>—</modifiedWord>
      <trackRevisions>false</trackRevisions>
    </reviewItem>
    <reviewItem>
      <errorID>669b57f2-90a0-466c-ae59-2cc678f1f7d3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57D13A9</paraID>
      <start>1</start>
      <end>2</end>
      <status>modified</status>
      <modifiedWord>—</modifiedWord>
      <trackRevisions>false</trackRevisions>
    </reviewItem>
    <reviewItem>
      <errorID>81196644-bf81-4fc5-848b-b7e06ba041f0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6E4BAAA2</paraID>
      <start>1</start>
      <end>2</end>
      <status>modified</status>
      <modifiedWord>—</modifiedWord>
      <trackRevisions>false</trackRevisions>
    </reviewItem>
    <reviewItem>
      <errorID>67b96768-7cb3-49d7-a96d-f0f9dd1f38f3</errorID>
      <errorWord>迅速地</errorWord>
      <group>L1_Word</group>
      <groupName>字词问题</groupName>
      <ability>L2_Typo</ability>
      <abilityName>字词错误</abilityName>
      <candidateList>
        <item>迅速</item>
      </candidateList>
      <explain/>
      <paraID>2A442A48</paraID>
      <start>122</start>
      <end>124</end>
      <status>modified</status>
      <modifiedWord>迅速</modifiedWord>
      <trackRevisions>false</trackRevisions>
    </reviewItem>
    <reviewItem>
      <errorID>24843e07-7c57-4534-872b-c19e3a184f31</errorID>
      <errorWord>下午17:30</errorWord>
      <group>L1_Knowledge</group>
      <groupName>知识性问题</groupName>
      <ability>L2_Time</ability>
      <abilityName>日期时间</abilityName>
      <candidateList>
        <item>17:30</item>
      </candidateList>
      <explain>24小时制的时间，不需要强调“下午”。</explain>
      <paraID>2A442A48</paraID>
      <start>142</start>
      <end>147</end>
      <status>modified</status>
      <modifiedWord>17:30</modifiedWord>
      <trackRevisions>false</trackRevisions>
    </reviewItem>
    <reviewItem>
      <errorID>fe098291-b2da-4034-b943-dc956146219d</errorID>
      <errorWord>-</errorWord>
      <group>L1_Format</group>
      <groupName>格式问题</groupName>
      <ability>L2_HalfPunc_CN</ability>
      <abilityName>全半角问题</abilityName>
      <candidateList>
        <item>－</item>
      </candidateList>
      <explain>文本全半角错误。</explain>
      <paraID>2A442A48</paraID>
      <start>147</start>
      <end>148</end>
      <status>modified</status>
      <modifiedWord>－</modifiedWord>
      <trackRevisions>false</trackRevisions>
    </reviewItem>
    <reviewItem>
      <errorID>03ae9b89-b238-4699-bdde-fca034e0e8a4</errorID>
      <errorWord>：</errorWord>
      <group>L1_Format</group>
      <groupName>格式问题</groupName>
      <ability>L2_HalfPunc_CN</ability>
      <abilityName>全半角问题</abilityName>
      <candidateList>
        <item>:</item>
      </candidateList>
      <explain>文本全半角错误。</explain>
      <paraID>2A442A48</paraID>
      <start>151</start>
      <end>152</end>
      <status>modified</status>
      <modifiedWord>:</modifiedWord>
      <trackRevisions>false</trackRevisions>
    </reviewItem>
    <reviewItem>
      <errorID>61cc3c18-54f4-4fa8-8b9f-30a2e582eb32</errorID>
      <errorWord>-</errorWord>
      <group>L1_Format</group>
      <groupName>格式问题</groupName>
      <ability>L2_HalfPunc_CN</ability>
      <abilityName>全半角问题</abilityName>
      <candidateList>
        <item>－</item>
      </candidateList>
      <explain>文本全半角错误。</explain>
      <paraID>2A442A48</paraID>
      <start>169</start>
      <end>170</end>
      <status>modified</status>
      <modifiedWord>－</modifiedWord>
      <trackRevisions>false</trackRevisions>
    </reviewItem>
    <reviewItem>
      <errorID>ca664b6b-c704-4c97-880b-e78593d26a3e</errorID>
      <errorWord>迅速地</errorWord>
      <group>L1_Word</group>
      <groupName>字词问题</groupName>
      <ability>L2_Typo</ability>
      <abilityName>字词错误</abilityName>
      <candidateList>
        <item>迅速</item>
      </candidateList>
      <explain/>
      <paraID>2A442A48</paraID>
      <start>224</start>
      <end>226</end>
      <status>modified</status>
      <modifiedWord>迅速</modifiedWord>
      <trackRevisions>false</trackRevisions>
    </reviewItem>
    <reviewItem>
      <errorID>ebf3e890-35a6-4f81-b59f-c86b46f01852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4985C738</paraID>
      <start>77</start>
      <end>78</end>
      <status>modified</status>
      <modifiedWord>—</modifiedWord>
      <trackRevisions>false</trackRevisions>
    </reviewItem>
    <reviewItem>
      <errorID>592ef7fe-6777-4aae-8b14-b4f524f39026</errorID>
      <errorWord>,</errorWord>
      <group>L1_Format</group>
      <groupName>格式问题</groupName>
      <ability>L2_HalfPunc_CN</ability>
      <abilityName>全半角问题</abilityName>
      <candidateList>
        <item>，</item>
      </candidateList>
      <explain>文本全半角错误。</explain>
      <paraID>4985C738</paraID>
      <start>149</start>
      <end>150</end>
      <status>modified</status>
      <modifiedWord>，</modifiedWord>
      <trackRevisions>false</trackRevisions>
    </reviewItem>
    <reviewItem>
      <errorID>06bb3f38-6310-49a1-a9b5-cccc92d5b5ae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40A33751</paraID>
      <start>0</start>
      <end>2</end>
      <status>modified</status>
      <modifiedWord>1.</modifiedWord>
      <trackRevisions>false</trackRevisions>
    </reviewItem>
    <reviewItem>
      <errorID>72229507-8500-4eec-8839-772f662e6f6d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508DF0C5</paraID>
      <start>0</start>
      <end>2</end>
      <status>modified</status>
      <modifiedWord>2.</modifiedWord>
      <trackRevisions>false</trackRevisions>
    </reviewItem>
    <reviewItem>
      <errorID>8df8d06e-c5b2-4373-acad-e1679250ce0f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705AA74E</paraID>
      <start>0</start>
      <end>2</end>
      <status>modified</status>
      <modifiedWord>3.</modifiedWord>
      <trackRevisions>false</trackRevisions>
    </reviewItem>
    <reviewItem>
      <errorID>f9d6e1d5-44cb-441e-9e7f-82ea39ab8935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60D15132</paraID>
      <start>0</start>
      <end>2</end>
      <status>modified</status>
      <modifiedWord>4.</modifiedWord>
      <trackRevisions>false</trackRevisions>
    </reviewItem>
    <reviewItem>
      <errorID>ae78c312-a5dd-4ebe-b811-861bfd0b33e5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5924E0BA</paraID>
      <start>0</start>
      <end>2</end>
      <status>modified</status>
      <modifiedWord>5.</modifiedWord>
      <trackRevisions>false</trackRevisions>
    </reviewItem>
    <reviewItem>
      <errorID>98ee8e05-98f8-4bb0-abbc-06b714cddc1e</errorID>
      <errorWord>,</errorWord>
      <group>L1_Format</group>
      <groupName>格式问题</groupName>
      <ability>L2_HalfPunc_CN</ability>
      <abilityName>全半角问题</abilityName>
      <candidateList>
        <item>，</item>
      </candidateList>
      <explain>文本全半角错误。</explain>
      <paraID>5924E0BA</paraID>
      <start>20</start>
      <end>21</end>
      <status>modified</status>
      <modifiedWord>，</modifiedWord>
      <trackRevisions>false</trackRevisions>
    </reviewItem>
    <reviewItem>
      <errorID>69b0fdde-4dc6-4edc-b567-e0467817c0ef</errorID>
      <errorWord>甲方并</errorWord>
      <group>L1_Word</group>
      <groupName>字词问题</groupName>
      <ability>L2_Typo</ability>
      <abilityName>字词错误</abilityName>
      <candidateList>
        <item>甲方</item>
      </candidateList>
      <explain/>
      <paraID>5924E0BA</paraID>
      <start>289</start>
      <end>291</end>
      <status>modified</status>
      <modifiedWord>甲方</modifiedWord>
      <trackRevisions>false</trackRevisions>
    </reviewItem>
    <reviewItem>
      <errorID>9a3673fd-24f2-44f1-af76-7df5a5934a46</errorID>
      <errorWord>所有</errorWord>
      <group>L1_Word</group>
      <groupName>字词问题</groupName>
      <ability>L2_Typo</ability>
      <abilityName>字词错误</abilityName>
      <candidateList>
        <item>所</item>
      </candidateList>
      <explain/>
      <paraID>5924E0BA</paraID>
      <start>349</start>
      <end>350</end>
      <status>modified</status>
      <modifiedWord>所</modifiedWord>
      <trackRevisions>false</trackRevisions>
    </reviewItem>
    <reviewItem>
      <errorID>b8dda1c7-519b-4721-871d-abaf86791138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76CE192E</paraID>
      <start>0</start>
      <end>2</end>
      <status>modified</status>
      <modifiedWord>6.</modifiedWord>
      <trackRevisions>false</trackRevisions>
    </reviewItem>
    <reviewItem>
      <errorID>90d73838-3210-4be4-a2d8-553fd587eb43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5BA90334</paraID>
      <start>0</start>
      <end>2</end>
      <status>modified</status>
      <modifiedWord>7.</modifiedWord>
      <trackRevisions>false</trackRevisions>
    </reviewItem>
    <reviewItem>
      <errorID>3308768c-5942-4d3d-a53f-ae9df7ad0266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7DECC7B7</paraID>
      <start>0</start>
      <end>2</end>
      <status>modified</status>
      <modifiedWord>8.</modifiedWord>
      <trackRevisions>false</trackRevisions>
    </reviewItem>
    <reviewItem>
      <errorID>36a22584-13ce-47fb-b8d0-4e96aeaccd88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7FB6B1E9</paraID>
      <start>0</start>
      <end>2</end>
      <status>modified</status>
      <modifiedWord>9.</modifiedWord>
      <trackRevisions>false</trackRevisions>
    </reviewItem>
    <reviewItem>
      <errorID>82aa5f3a-e1b8-4cc9-8808-3bc1fb789f18</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1ED4305B</paraID>
      <start>0</start>
      <end>3</end>
      <status>modified</status>
      <modifiedWord>10.</modifiedWord>
      <trackRevisions>false</trackRevisions>
    </reviewItem>
    <reviewItem>
      <errorID>ebfabf44-4766-43f3-83a6-5bd8ba0b1788</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4D4FDE83</paraID>
      <start>0</start>
      <end>3</end>
      <status>modified</status>
      <modifiedWord>11.</modifiedWord>
      <trackRevisions>false</trackRevisions>
    </reviewItem>
    <reviewItem>
      <errorID>d090d209-4c4c-40c5-82ee-8c88f43c0f00</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C181E10</paraID>
      <start>0</start>
      <end>3</end>
      <status>modified</status>
      <modifiedWord>12.</modifiedWord>
      <trackRevisions>false</trackRevisions>
    </reviewItem>
    <reviewItem>
      <errorID>202b0149-638c-411d-ab7b-4d2639af5b00</errorID>
      <errorWord>累积超过</errorWord>
      <group>L1_Word</group>
      <groupName>字词问题</groupName>
      <ability>L2_Typo</ability>
      <abilityName>字词错误</abilityName>
      <candidateList>
        <item>累计超过</item>
      </candidateList>
      <explain/>
      <paraID> C181E10</paraID>
      <start>17</start>
      <end>21</end>
      <status>modified</status>
      <modifiedWord>累计超过</modifiedWord>
      <trackRevisions>false</trackRevisions>
    </reviewItem>
    <reviewItem>
      <errorID>2f372783-0627-4270-8ec0-3619cd2e22ff</errorID>
      <errorWord>,</errorWord>
      <group>L1_Format</group>
      <groupName>格式问题</groupName>
      <ability>L2_HalfPunc_CN</ability>
      <abilityName>全半角问题</abilityName>
      <candidateList>
        <item>，</item>
      </candidateList>
      <explain>文本全半角错误。</explain>
      <paraID>4B8A9DFC</paraID>
      <start>40</start>
      <end>41</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49ad6e2-0e3b-4a43-8372-0e2c9ecd6f94}">
  <ds:schemaRefs/>
</ds:datastoreItem>
</file>

<file path=docProps/app.xml><?xml version="1.0" encoding="utf-8"?>
<Properties xmlns="http://schemas.openxmlformats.org/officeDocument/2006/extended-properties" xmlns:vt="http://schemas.openxmlformats.org/officeDocument/2006/docPropsVTypes">
  <Template>Normal.dotm</Template>
  <Pages>21</Pages>
  <Words>14940</Words>
  <Characters>15428</Characters>
  <Lines>132</Lines>
  <Paragraphs>37</Paragraphs>
  <TotalTime>2</TotalTime>
  <ScaleCrop>false</ScaleCrop>
  <LinksUpToDate>false</LinksUpToDate>
  <CharactersWithSpaces>15526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2026-07-23T15:21:00Z</dcterms:created>
  <dc:creator>林冬</dc:creator>
  <cp:lastModifiedBy>曾枫桦</cp:lastModifiedBy>
  <cp:lastPrinted>2026-08-06T02:25:35Z</cp:lastPrinted>
  <dcterms:modified xsi:type="dcterms:W3CDTF">2026-08-06T02:28:31Z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6DE46A0B64EF420AB9CF9C60F1745163_13</vt:lpwstr>
  </property>
  <property fmtid="{D5CDD505-2E9C-101B-9397-08002B2CF9AE}" pid="4" name="KSOTemplateDocerSaveRecord">
    <vt:lpwstr>eyJoZGlkIjoiODBiZGZhNWRkMzFiZjIyMzRlYzBiZGU3NjZmMzQ5ODciLCJ1c2VySWQiOiIxNjU3NTQwNzI4In0=</vt:lpwstr>
  </property>
</Properties>
</file>