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14:paraId="4E31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1A6AC5E8">
            <w:pPr>
              <w:pStyle w:val="7"/>
              <w:spacing w:before="312" w:beforeLines="100" w:line="360" w:lineRule="auto"/>
              <w:ind w:left="418" w:leftChars="190"/>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一、总体概述及要求</w:t>
            </w:r>
          </w:p>
          <w:p w14:paraId="7FA20141">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1、本服务项目：是指</w:t>
            </w:r>
            <w:r>
              <w:rPr>
                <w:rFonts w:hint="eastAsia" w:ascii="宋体" w:hAnsi="宋体"/>
                <w:szCs w:val="21"/>
              </w:rPr>
              <w:t>医学检验科</w:t>
            </w:r>
            <w:r>
              <w:rPr>
                <w:rFonts w:hint="eastAsia" w:ascii="宋体" w:hAnsi="宋体" w:eastAsia="宋体" w:cs="宋体"/>
                <w:sz w:val="21"/>
                <w:szCs w:val="21"/>
                <w:lang w:eastAsia="zh-CN"/>
              </w:rPr>
              <w:t>在用</w:t>
            </w:r>
            <w:r>
              <w:rPr>
                <w:rFonts w:hint="eastAsia" w:ascii="宋体" w:hAnsi="宋体" w:eastAsia="宋体" w:cs="宋体"/>
                <w:sz w:val="21"/>
                <w:szCs w:val="21"/>
                <w:lang w:val="en-US" w:eastAsia="zh-CN"/>
              </w:rPr>
              <w:t>的威立雅ELGA</w:t>
            </w:r>
            <w:r>
              <w:rPr>
                <w:rFonts w:hint="eastAsia" w:ascii="宋体" w:hAnsi="宋体"/>
                <w:szCs w:val="21"/>
              </w:rPr>
              <w:t>中央纯水系统</w:t>
            </w:r>
            <w:r>
              <w:rPr>
                <w:rFonts w:hint="eastAsia" w:ascii="宋体" w:hAnsi="宋体" w:eastAsia="宋体" w:cs="宋体"/>
                <w:sz w:val="21"/>
                <w:szCs w:val="21"/>
                <w:highlight w:val="yellow"/>
                <w:lang w:eastAsia="zh-CN"/>
              </w:rPr>
              <w:t>（型号：</w:t>
            </w:r>
            <w:r>
              <w:rPr>
                <w:rFonts w:hint="eastAsia" w:ascii="宋体" w:hAnsi="宋体" w:eastAsia="宋体" w:cs="宋体"/>
                <w:sz w:val="21"/>
                <w:szCs w:val="21"/>
                <w:highlight w:val="yellow"/>
                <w:lang w:val="en-US" w:eastAsia="zh-CN"/>
              </w:rPr>
              <w:t>CENTRA,数量：4台</w:t>
            </w:r>
            <w:r>
              <w:rPr>
                <w:rFonts w:hint="eastAsia" w:ascii="宋体" w:hAnsi="宋体" w:eastAsia="宋体" w:cs="宋体"/>
                <w:sz w:val="21"/>
                <w:szCs w:val="21"/>
                <w:highlight w:val="yellow"/>
                <w:lang w:eastAsia="zh-CN"/>
              </w:rPr>
              <w:t>）</w:t>
            </w:r>
            <w:r>
              <w:rPr>
                <w:rFonts w:hint="eastAsia" w:ascii="宋体" w:hAnsi="宋体" w:eastAsia="宋体" w:cs="宋体"/>
                <w:sz w:val="21"/>
                <w:szCs w:val="21"/>
                <w:lang w:eastAsia="zh-CN"/>
              </w:rPr>
              <w:t>三年维修保养服务。</w:t>
            </w:r>
            <w:bookmarkStart w:id="0" w:name="_GoBack"/>
            <w:bookmarkEnd w:id="0"/>
            <w:r>
              <w:rPr>
                <w:rFonts w:hint="eastAsia" w:ascii="宋体" w:hAnsi="宋体" w:eastAsia="宋体" w:cs="宋体"/>
                <w:sz w:val="21"/>
                <w:szCs w:val="21"/>
                <w:lang w:eastAsia="zh-CN"/>
              </w:rPr>
              <w:t>维保的项目为</w:t>
            </w:r>
            <w:r>
              <w:rPr>
                <w:rFonts w:hint="eastAsia" w:ascii="宋体" w:hAnsi="宋体" w:eastAsia="宋体" w:cs="宋体"/>
                <w:sz w:val="21"/>
                <w:szCs w:val="21"/>
                <w:highlight w:val="yellow"/>
                <w:lang w:eastAsia="zh-CN"/>
              </w:rPr>
              <w:t>全保服务，包含</w:t>
            </w:r>
            <w:r>
              <w:rPr>
                <w:rFonts w:hint="eastAsia" w:ascii="宋体" w:hAnsi="宋体" w:eastAsia="宋体" w:cs="宋体"/>
                <w:sz w:val="21"/>
                <w:szCs w:val="21"/>
                <w:highlight w:val="yellow"/>
                <w:lang w:val="en-US" w:eastAsia="zh-CN"/>
              </w:rPr>
              <w:t>滤芯纯化柱等耗材更换、整机配件主板传感器阀门维修更换、日常维修保养人工、年度校准、水质检测</w:t>
            </w:r>
            <w:r>
              <w:rPr>
                <w:rFonts w:hint="eastAsia" w:ascii="宋体" w:hAnsi="宋体" w:eastAsia="宋体" w:cs="宋体"/>
                <w:sz w:val="21"/>
                <w:szCs w:val="21"/>
                <w:highlight w:val="yellow"/>
                <w:lang w:eastAsia="zh-CN"/>
              </w:rPr>
              <w:t>等整机维保服务</w:t>
            </w:r>
            <w:r>
              <w:rPr>
                <w:rFonts w:hint="eastAsia" w:ascii="宋体" w:hAnsi="宋体" w:eastAsia="宋体" w:cs="宋体"/>
                <w:sz w:val="21"/>
                <w:szCs w:val="21"/>
                <w:lang w:eastAsia="zh-CN"/>
              </w:rPr>
              <w:t>。服务期以合同约定为准。</w:t>
            </w:r>
          </w:p>
          <w:p w14:paraId="589AAF64">
            <w:pPr>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★2、若本服务项目含多台设备，请在投标时对每台设备分别做分项报价。</w:t>
            </w:r>
          </w:p>
        </w:tc>
      </w:tr>
      <w:tr w14:paraId="15B0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486218ED">
            <w:pPr>
              <w:spacing w:before="156" w:beforeLines="50" w:line="360" w:lineRule="auto"/>
              <w:ind w:firstLine="495"/>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二、维护服务对象基本情况</w:t>
            </w:r>
          </w:p>
          <w:p w14:paraId="3D862D24">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1、服务项目设备：</w:t>
            </w:r>
            <w:r>
              <w:rPr>
                <w:rFonts w:hint="eastAsia" w:ascii="宋体" w:hAnsi="宋体"/>
                <w:szCs w:val="21"/>
              </w:rPr>
              <w:t>检验科</w:t>
            </w:r>
            <w:r>
              <w:rPr>
                <w:rFonts w:hint="eastAsia" w:ascii="宋体" w:hAnsi="宋体" w:eastAsia="宋体" w:cs="宋体"/>
                <w:sz w:val="21"/>
                <w:szCs w:val="21"/>
                <w:lang w:val="en-US" w:eastAsia="zh-CN"/>
              </w:rPr>
              <w:t>四台威立雅ELGA</w:t>
            </w:r>
            <w:r>
              <w:rPr>
                <w:rFonts w:hint="eastAsia" w:ascii="宋体" w:hAnsi="宋体"/>
                <w:szCs w:val="21"/>
              </w:rPr>
              <w:t>中央纯水系统</w:t>
            </w:r>
            <w:r>
              <w:rPr>
                <w:rFonts w:hint="eastAsia" w:ascii="宋体" w:hAnsi="宋体" w:eastAsia="宋体" w:cs="宋体"/>
                <w:sz w:val="21"/>
                <w:szCs w:val="21"/>
                <w:highlight w:val="yellow"/>
                <w:lang w:eastAsia="zh-CN"/>
              </w:rPr>
              <w:t>（型号：</w:t>
            </w:r>
            <w:r>
              <w:rPr>
                <w:rFonts w:hint="eastAsia" w:ascii="宋体" w:hAnsi="宋体" w:eastAsia="宋体" w:cs="宋体"/>
                <w:sz w:val="21"/>
                <w:szCs w:val="21"/>
                <w:highlight w:val="yellow"/>
                <w:lang w:val="en-US" w:eastAsia="zh-CN"/>
              </w:rPr>
              <w:t>CENTRA</w:t>
            </w:r>
            <w:r>
              <w:rPr>
                <w:rFonts w:hint="eastAsia" w:ascii="宋体" w:hAnsi="宋体" w:eastAsia="宋体" w:cs="宋体"/>
                <w:sz w:val="21"/>
                <w:szCs w:val="21"/>
                <w:highlight w:val="yellow"/>
                <w:lang w:eastAsia="zh-CN"/>
              </w:rPr>
              <w:t>）。</w:t>
            </w:r>
          </w:p>
          <w:p w14:paraId="1A6634F5">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2、设备使用情况：正常使用。</w:t>
            </w:r>
          </w:p>
          <w:p w14:paraId="3E9327D0">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3、服务意义：为应对该设备的损坏风险，及时修复故障，提高使用率，购买三年维修保养服务。</w:t>
            </w:r>
          </w:p>
        </w:tc>
      </w:tr>
      <w:tr w14:paraId="31A3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60927C3B">
            <w:pPr>
              <w:spacing w:before="156" w:beforeLines="50" w:line="360" w:lineRule="auto"/>
              <w:ind w:firstLine="495"/>
              <w:jc w:val="both"/>
              <w:rPr>
                <w:rFonts w:ascii="宋体" w:hAnsi="宋体" w:eastAsia="宋体" w:cs="宋体"/>
                <w:sz w:val="21"/>
                <w:szCs w:val="21"/>
                <w:lang w:eastAsia="zh-CN"/>
              </w:rPr>
            </w:pPr>
            <w:r>
              <w:rPr>
                <w:rFonts w:hint="eastAsia" w:ascii="宋体" w:hAnsi="宋体" w:eastAsia="宋体" w:cs="宋体"/>
                <w:b/>
                <w:bCs/>
                <w:sz w:val="21"/>
                <w:szCs w:val="21"/>
                <w:lang w:eastAsia="zh-CN"/>
              </w:rPr>
              <w:t>三、服务人员与服务时间</w:t>
            </w:r>
          </w:p>
          <w:p w14:paraId="60556D6A">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1、投标人应设有固定人员提供服务， (提供服务人员清单或承诺函并标注在投标文件中)。</w:t>
            </w:r>
          </w:p>
          <w:p w14:paraId="0FCFAEC6">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▲2、要求投标人</w:t>
            </w:r>
            <w:r>
              <w:rPr>
                <w:rFonts w:hint="eastAsia" w:ascii="宋体" w:hAnsi="宋体" w:eastAsia="宋体" w:cs="宋体"/>
                <w:sz w:val="21"/>
                <w:szCs w:val="21"/>
                <w:highlight w:val="yellow"/>
                <w:lang w:eastAsia="zh-CN"/>
              </w:rPr>
              <w:t>至少指定2名</w:t>
            </w:r>
            <w:r>
              <w:rPr>
                <w:rFonts w:hint="eastAsia" w:ascii="宋体" w:hAnsi="宋体" w:eastAsia="宋体" w:cs="宋体"/>
                <w:sz w:val="21"/>
                <w:szCs w:val="21"/>
                <w:lang w:eastAsia="zh-CN"/>
              </w:rPr>
              <w:t>持有厂家或相关能力培训合格的工程师负责本项目。（投标文件中提供工程师名单、联系方式及培训合格的证明文件，并标注在投标文件中）</w:t>
            </w:r>
          </w:p>
          <w:p w14:paraId="2021B9F9">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3、电话响应：</w:t>
            </w:r>
            <w:r>
              <w:rPr>
                <w:rFonts w:hint="eastAsia" w:ascii="宋体" w:hAnsi="宋体" w:eastAsia="宋体" w:cs="宋体"/>
                <w:sz w:val="21"/>
                <w:szCs w:val="21"/>
                <w:highlight w:val="yellow"/>
                <w:lang w:eastAsia="zh-CN"/>
              </w:rPr>
              <w:t>每天24小时，按照全年365个日历日的电话支持服务；现场服务时间：按照全年365个日历日，每日08:00-17:30现场服务。</w:t>
            </w:r>
          </w:p>
          <w:p w14:paraId="4DDA7602">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4、如遇服务时间外的紧急加班服务，人员的紧急加班服务费用包含在投标报价中。</w:t>
            </w:r>
          </w:p>
        </w:tc>
      </w:tr>
      <w:tr w14:paraId="5A93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5C431C2E">
            <w:pPr>
              <w:spacing w:line="360" w:lineRule="auto"/>
              <w:rPr>
                <w:rFonts w:ascii="宋体" w:hAnsi="宋体" w:eastAsia="宋体" w:cs="宋体"/>
                <w:sz w:val="21"/>
                <w:szCs w:val="21"/>
                <w:lang w:eastAsia="zh-CN"/>
              </w:rPr>
            </w:pPr>
            <w:r>
              <w:rPr>
                <w:rFonts w:ascii="宋体" w:hAnsi="宋体" w:eastAsia="宋体" w:cs="宋体"/>
                <w:sz w:val="21"/>
                <w:szCs w:val="21"/>
                <w:lang w:eastAsia="zh-CN"/>
              </w:rPr>
              <w:t>四、维护服务内容包括：</w:t>
            </w:r>
          </w:p>
          <w:p w14:paraId="4D156278">
            <w:pPr>
              <w:spacing w:line="360" w:lineRule="auto"/>
              <w:rPr>
                <w:rFonts w:ascii="宋体" w:hAnsi="宋体" w:eastAsia="宋体" w:cs="宋体"/>
                <w:sz w:val="21"/>
                <w:szCs w:val="21"/>
                <w:lang w:eastAsia="zh-CN"/>
              </w:rPr>
            </w:pPr>
            <w:r>
              <w:rPr>
                <w:rFonts w:ascii="宋体" w:hAnsi="宋体" w:eastAsia="宋体" w:cs="宋体"/>
                <w:sz w:val="21"/>
                <w:szCs w:val="21"/>
                <w:lang w:eastAsia="zh-CN"/>
              </w:rPr>
              <w:t>本服务项目投标人应提供包括但不限于以下服务：</w:t>
            </w:r>
          </w:p>
          <w:p w14:paraId="6DC75452">
            <w:pPr>
              <w:spacing w:line="360" w:lineRule="auto"/>
              <w:rPr>
                <w:rFonts w:ascii="宋体" w:hAnsi="宋体" w:eastAsia="宋体" w:cs="宋体"/>
                <w:sz w:val="21"/>
                <w:szCs w:val="21"/>
                <w:lang w:eastAsia="zh-CN"/>
              </w:rPr>
            </w:pPr>
            <w:r>
              <w:rPr>
                <w:rFonts w:ascii="宋体" w:hAnsi="宋体" w:eastAsia="宋体" w:cs="宋体"/>
                <w:sz w:val="21"/>
                <w:szCs w:val="21"/>
                <w:lang w:eastAsia="zh-CN"/>
              </w:rPr>
              <w:t>▲1、维保服务期内，服务内容包含对设备进行维修，保养和更换备件 /配件</w:t>
            </w:r>
            <w:r>
              <w:rPr>
                <w:rFonts w:ascii="宋体" w:hAnsi="宋体" w:eastAsia="宋体" w:cs="宋体"/>
                <w:sz w:val="21"/>
                <w:szCs w:val="21"/>
                <w:highlight w:val="yellow"/>
                <w:lang w:eastAsia="zh-CN"/>
              </w:rPr>
              <w:t>（</w:t>
            </w:r>
            <w:r>
              <w:rPr>
                <w:rFonts w:hint="eastAsia" w:ascii="宋体" w:hAnsi="宋体" w:eastAsia="宋体" w:cs="宋体"/>
                <w:sz w:val="21"/>
                <w:szCs w:val="21"/>
                <w:highlight w:val="yellow"/>
                <w:lang w:val="en-US" w:eastAsia="zh-CN"/>
              </w:rPr>
              <w:t>包括但不限于紫外灯、离子纯化柱、连续电流脱盐模块、反渗透柱、超滤柱、颗粒过滤芯、活性炭过滤芯、软化器、水箱空气过滤器</w:t>
            </w:r>
            <w:r>
              <w:rPr>
                <w:rFonts w:hint="eastAsia" w:ascii="宋体" w:hAnsi="宋体" w:eastAsia="宋体" w:cs="宋体"/>
                <w:sz w:val="21"/>
                <w:szCs w:val="21"/>
                <w:highlight w:val="yellow"/>
                <w:lang w:eastAsia="zh-CN"/>
              </w:rPr>
              <w:t>、</w:t>
            </w:r>
            <w:r>
              <w:rPr>
                <w:rFonts w:hint="eastAsia" w:ascii="宋体" w:hAnsi="宋体" w:eastAsia="宋体" w:cs="宋体"/>
                <w:sz w:val="21"/>
                <w:szCs w:val="21"/>
                <w:highlight w:val="yellow"/>
                <w:lang w:val="en-US" w:eastAsia="zh-CN"/>
              </w:rPr>
              <w:t>系统消毒、电控板、阀门、管道接头、泵、传感器</w:t>
            </w:r>
            <w:r>
              <w:rPr>
                <w:rFonts w:ascii="宋体" w:hAnsi="宋体" w:eastAsia="宋体" w:cs="宋体"/>
                <w:sz w:val="21"/>
                <w:szCs w:val="21"/>
                <w:highlight w:val="yellow"/>
                <w:lang w:eastAsia="zh-CN"/>
              </w:rPr>
              <w:t>）</w:t>
            </w:r>
            <w:r>
              <w:rPr>
                <w:rFonts w:hint="eastAsia" w:ascii="宋体" w:hAnsi="宋体" w:eastAsia="宋体" w:cs="宋体"/>
                <w:sz w:val="21"/>
                <w:szCs w:val="21"/>
                <w:highlight w:val="yellow"/>
                <w:lang w:val="en-US" w:eastAsia="zh-CN"/>
              </w:rPr>
              <w:t>/温度及电导率校准/定期水质检测</w:t>
            </w:r>
            <w:r>
              <w:rPr>
                <w:rFonts w:ascii="宋体" w:hAnsi="宋体" w:eastAsia="宋体" w:cs="宋体"/>
                <w:sz w:val="21"/>
                <w:szCs w:val="21"/>
                <w:lang w:eastAsia="zh-CN"/>
              </w:rPr>
              <w:t>，中标人承担备件/配件</w:t>
            </w:r>
            <w:r>
              <w:rPr>
                <w:rFonts w:hint="eastAsia" w:ascii="宋体" w:hAnsi="宋体" w:eastAsia="宋体" w:cs="宋体"/>
                <w:sz w:val="21"/>
                <w:szCs w:val="21"/>
                <w:lang w:val="en-US" w:eastAsia="zh-CN"/>
              </w:rPr>
              <w:t>/校准/检测</w:t>
            </w:r>
            <w:r>
              <w:rPr>
                <w:rFonts w:ascii="宋体" w:hAnsi="宋体" w:eastAsia="宋体" w:cs="宋体"/>
                <w:sz w:val="21"/>
                <w:szCs w:val="21"/>
                <w:lang w:eastAsia="zh-CN"/>
              </w:rPr>
              <w:t>、劳务和差旅等费用，费用包含在投标报价中，采购人不再支付除合同款外的其他费用。</w:t>
            </w:r>
          </w:p>
          <w:p w14:paraId="49F1B37B">
            <w:pPr>
              <w:spacing w:line="360" w:lineRule="auto"/>
              <w:rPr>
                <w:rFonts w:ascii="宋体" w:hAnsi="宋体" w:eastAsia="宋体" w:cs="宋体"/>
                <w:sz w:val="21"/>
                <w:szCs w:val="21"/>
                <w:lang w:eastAsia="zh-CN"/>
              </w:rPr>
            </w:pPr>
            <w:r>
              <w:rPr>
                <w:rFonts w:ascii="宋体" w:hAnsi="宋体" w:eastAsia="宋体" w:cs="宋体"/>
                <w:sz w:val="21"/>
                <w:szCs w:val="21"/>
                <w:lang w:eastAsia="zh-CN"/>
              </w:rPr>
              <w:t>2、</w:t>
            </w:r>
            <w:r>
              <w:rPr>
                <w:rFonts w:ascii="宋体" w:hAnsi="宋体" w:eastAsia="宋体" w:cs="宋体"/>
                <w:sz w:val="21"/>
                <w:szCs w:val="21"/>
                <w:highlight w:val="yellow"/>
                <w:lang w:eastAsia="zh-CN"/>
              </w:rPr>
              <w:t>服务设备常规一年</w:t>
            </w:r>
            <w:r>
              <w:rPr>
                <w:rFonts w:hint="eastAsia" w:ascii="宋体" w:hAnsi="宋体" w:eastAsia="宋体" w:cs="宋体"/>
                <w:sz w:val="21"/>
                <w:szCs w:val="21"/>
                <w:highlight w:val="yellow"/>
                <w:lang w:val="en-US" w:eastAsia="zh-CN"/>
              </w:rPr>
              <w:t>12</w:t>
            </w:r>
            <w:r>
              <w:rPr>
                <w:rFonts w:ascii="宋体" w:hAnsi="宋体" w:eastAsia="宋体" w:cs="宋体"/>
                <w:sz w:val="21"/>
                <w:szCs w:val="21"/>
                <w:highlight w:val="yellow"/>
                <w:lang w:eastAsia="zh-CN"/>
              </w:rPr>
              <w:t>次保养及预防性维护，包括设备的安全检查、除尘保养、</w:t>
            </w:r>
            <w:r>
              <w:rPr>
                <w:rFonts w:hint="eastAsia" w:ascii="宋体" w:hAnsi="宋体" w:eastAsia="宋体" w:cs="宋体"/>
                <w:sz w:val="21"/>
                <w:szCs w:val="21"/>
                <w:highlight w:val="yellow"/>
                <w:lang w:val="en-US" w:eastAsia="zh-CN"/>
              </w:rPr>
              <w:t>水质</w:t>
            </w:r>
            <w:r>
              <w:rPr>
                <w:rFonts w:ascii="宋体" w:hAnsi="宋体" w:eastAsia="宋体" w:cs="宋体"/>
                <w:sz w:val="21"/>
                <w:szCs w:val="21"/>
                <w:highlight w:val="yellow"/>
                <w:lang w:eastAsia="zh-CN"/>
              </w:rPr>
              <w:t>检测及运行状态检查、定期更换设备易损部件</w:t>
            </w:r>
            <w:r>
              <w:rPr>
                <w:rFonts w:hint="eastAsia" w:ascii="宋体" w:hAnsi="宋体" w:eastAsia="宋体" w:cs="宋体"/>
                <w:sz w:val="21"/>
                <w:szCs w:val="21"/>
                <w:highlight w:val="yellow"/>
                <w:lang w:eastAsia="zh-CN"/>
              </w:rPr>
              <w:t>、</w:t>
            </w:r>
            <w:r>
              <w:rPr>
                <w:rFonts w:hint="eastAsia" w:ascii="宋体" w:hAnsi="宋体" w:eastAsia="宋体" w:cs="宋体"/>
                <w:sz w:val="21"/>
                <w:szCs w:val="21"/>
                <w:highlight w:val="yellow"/>
                <w:lang w:val="en-US" w:eastAsia="zh-CN"/>
              </w:rPr>
              <w:t>每月进行第三方检测微生物指标及提供符合要求的报告、每年进行第三方检测总有机碳指标及提供符合要求的报告</w:t>
            </w:r>
            <w:r>
              <w:rPr>
                <w:rFonts w:ascii="宋体" w:hAnsi="宋体" w:eastAsia="宋体" w:cs="宋体"/>
                <w:sz w:val="21"/>
                <w:szCs w:val="21"/>
                <w:highlight w:val="yellow"/>
                <w:lang w:eastAsia="zh-CN"/>
              </w:rPr>
              <w:t>等；中标人到采购人现场进行设备校准，</w:t>
            </w:r>
            <w:r>
              <w:rPr>
                <w:rFonts w:hint="eastAsia" w:ascii="宋体" w:hAnsi="宋体" w:eastAsia="宋体" w:cs="宋体"/>
                <w:sz w:val="21"/>
                <w:szCs w:val="21"/>
                <w:highlight w:val="yellow"/>
                <w:lang w:val="en-US" w:eastAsia="zh-CN"/>
              </w:rPr>
              <w:t>每台设备</w:t>
            </w:r>
            <w:r>
              <w:rPr>
                <w:rFonts w:ascii="宋体" w:hAnsi="宋体" w:eastAsia="宋体" w:cs="宋体"/>
                <w:sz w:val="21"/>
                <w:szCs w:val="21"/>
                <w:highlight w:val="yellow"/>
                <w:lang w:eastAsia="zh-CN"/>
              </w:rPr>
              <w:t>每</w:t>
            </w:r>
            <w:r>
              <w:rPr>
                <w:rFonts w:hint="eastAsia" w:ascii="宋体" w:hAnsi="宋体" w:eastAsia="宋体" w:cs="宋体"/>
                <w:sz w:val="21"/>
                <w:szCs w:val="21"/>
                <w:highlight w:val="yellow"/>
                <w:lang w:val="en-US" w:eastAsia="zh-CN"/>
              </w:rPr>
              <w:t>年</w:t>
            </w:r>
            <w:r>
              <w:rPr>
                <w:rFonts w:ascii="宋体" w:hAnsi="宋体" w:eastAsia="宋体" w:cs="宋体"/>
                <w:sz w:val="21"/>
                <w:szCs w:val="21"/>
                <w:highlight w:val="yellow"/>
                <w:lang w:eastAsia="zh-CN"/>
              </w:rPr>
              <w:t>1次</w:t>
            </w:r>
            <w:r>
              <w:rPr>
                <w:rFonts w:hint="eastAsia" w:ascii="宋体" w:hAnsi="宋体" w:eastAsia="宋体" w:cs="宋体"/>
                <w:sz w:val="21"/>
                <w:szCs w:val="21"/>
                <w:highlight w:val="yellow"/>
                <w:lang w:eastAsia="zh-CN"/>
              </w:rPr>
              <w:t>在线电阻率</w:t>
            </w:r>
            <w:r>
              <w:rPr>
                <w:rFonts w:hint="eastAsia" w:ascii="宋体" w:hAnsi="宋体" w:eastAsia="宋体" w:cs="宋体"/>
                <w:sz w:val="21"/>
                <w:szCs w:val="21"/>
                <w:highlight w:val="yellow"/>
                <w:lang w:val="en-US" w:eastAsia="zh-CN"/>
              </w:rPr>
              <w:t>传感器</w:t>
            </w:r>
            <w:r>
              <w:rPr>
                <w:rFonts w:hint="eastAsia" w:ascii="宋体" w:hAnsi="宋体" w:eastAsia="宋体" w:cs="宋体"/>
                <w:sz w:val="21"/>
                <w:szCs w:val="21"/>
                <w:highlight w:val="yellow"/>
                <w:lang w:eastAsia="zh-CN"/>
              </w:rPr>
              <w:t>及温度</w:t>
            </w:r>
            <w:r>
              <w:rPr>
                <w:rFonts w:hint="eastAsia" w:ascii="宋体" w:hAnsi="宋体" w:eastAsia="宋体" w:cs="宋体"/>
                <w:sz w:val="21"/>
                <w:szCs w:val="21"/>
                <w:highlight w:val="yellow"/>
                <w:lang w:val="en-US" w:eastAsia="zh-CN"/>
              </w:rPr>
              <w:t>传感器</w:t>
            </w:r>
            <w:r>
              <w:rPr>
                <w:rFonts w:hint="eastAsia" w:ascii="宋体" w:hAnsi="宋体" w:eastAsia="宋体" w:cs="宋体"/>
                <w:sz w:val="21"/>
                <w:szCs w:val="21"/>
                <w:highlight w:val="yellow"/>
                <w:lang w:eastAsia="zh-CN"/>
              </w:rPr>
              <w:t>校准</w:t>
            </w:r>
            <w:r>
              <w:rPr>
                <w:rFonts w:ascii="宋体" w:hAnsi="宋体" w:eastAsia="宋体" w:cs="宋体"/>
                <w:sz w:val="21"/>
                <w:szCs w:val="21"/>
                <w:highlight w:val="yellow"/>
                <w:lang w:eastAsia="zh-CN"/>
              </w:rPr>
              <w:t>，每</w:t>
            </w:r>
            <w:r>
              <w:rPr>
                <w:rFonts w:hint="eastAsia" w:ascii="宋体" w:hAnsi="宋体" w:eastAsia="宋体" w:cs="宋体"/>
                <w:sz w:val="21"/>
                <w:szCs w:val="21"/>
                <w:highlight w:val="yellow"/>
                <w:lang w:val="en-US" w:eastAsia="zh-CN"/>
              </w:rPr>
              <w:t>台设备每</w:t>
            </w:r>
            <w:r>
              <w:rPr>
                <w:rFonts w:ascii="宋体" w:hAnsi="宋体" w:eastAsia="宋体" w:cs="宋体"/>
                <w:sz w:val="21"/>
                <w:szCs w:val="21"/>
                <w:highlight w:val="yellow"/>
                <w:lang w:eastAsia="zh-CN"/>
              </w:rPr>
              <w:t>年共计</w:t>
            </w:r>
            <w:r>
              <w:rPr>
                <w:rFonts w:hint="eastAsia" w:ascii="宋体" w:hAnsi="宋体" w:eastAsia="宋体" w:cs="宋体"/>
                <w:sz w:val="21"/>
                <w:szCs w:val="21"/>
                <w:highlight w:val="yellow"/>
                <w:lang w:val="en-US" w:eastAsia="zh-CN"/>
              </w:rPr>
              <w:t>1</w:t>
            </w:r>
            <w:r>
              <w:rPr>
                <w:rFonts w:ascii="宋体" w:hAnsi="宋体" w:eastAsia="宋体" w:cs="宋体"/>
                <w:sz w:val="21"/>
                <w:szCs w:val="21"/>
                <w:highlight w:val="yellow"/>
                <w:lang w:eastAsia="zh-CN"/>
              </w:rPr>
              <w:t>次；</w:t>
            </w:r>
            <w:r>
              <w:rPr>
                <w:rFonts w:hint="eastAsia" w:ascii="宋体" w:hAnsi="宋体" w:cs="Arial"/>
                <w:highlight w:val="yellow"/>
                <w:lang w:val="en-US" w:eastAsia="zh-CN"/>
              </w:rPr>
              <w:t>每年一次手持式在线电导率仪校准</w:t>
            </w:r>
            <w:r>
              <w:rPr>
                <w:rFonts w:hint="eastAsia" w:ascii="宋体" w:hAnsi="宋体" w:cs="Arial"/>
                <w:lang w:val="en-US" w:eastAsia="zh-CN"/>
              </w:rPr>
              <w:t>，</w:t>
            </w:r>
            <w:r>
              <w:rPr>
                <w:rFonts w:ascii="宋体" w:hAnsi="宋体" w:eastAsia="宋体" w:cs="宋体"/>
                <w:sz w:val="21"/>
                <w:szCs w:val="21"/>
                <w:lang w:eastAsia="zh-CN"/>
              </w:rPr>
              <w:t>以上服务中标人应按采购人要求提交保养报告。中标人</w:t>
            </w:r>
            <w:r>
              <w:rPr>
                <w:rFonts w:hint="eastAsia" w:ascii="宋体" w:hAnsi="宋体" w:eastAsia="宋体" w:cs="宋体"/>
                <w:sz w:val="21"/>
                <w:szCs w:val="21"/>
                <w:lang w:eastAsia="zh-CN"/>
              </w:rPr>
              <w:t>应</w:t>
            </w:r>
            <w:r>
              <w:rPr>
                <w:rFonts w:ascii="宋体" w:hAnsi="宋体" w:eastAsia="宋体" w:cs="宋体"/>
                <w:sz w:val="21"/>
                <w:szCs w:val="21"/>
                <w:lang w:eastAsia="zh-CN"/>
              </w:rPr>
              <w:t>提供培训服务，且培训服务费用包含在投标报价中，不另外收取。</w:t>
            </w:r>
          </w:p>
          <w:p w14:paraId="530C54AB">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w:t>
            </w:r>
            <w:r>
              <w:rPr>
                <w:rFonts w:ascii="宋体" w:hAnsi="宋体" w:eastAsia="宋体" w:cs="宋体"/>
                <w:sz w:val="21"/>
                <w:szCs w:val="21"/>
                <w:lang w:eastAsia="zh-CN"/>
              </w:rPr>
              <w:t>当所保设备出现故障时，中标人收到采购人的报修通知后应及时派工程师进行指导或赴现场维修，如无法及时维修，中标人应及时通知采购人，中标人有义务优先提供合理的方案，保证采购人权益不受损失，保证业务正常开展，并保证尽快修复，同时中标人无法解决故障的情况下，采购人有权另行聘请第三方予以解决，以上所发生的费用由中标人承担。</w:t>
            </w:r>
          </w:p>
          <w:p w14:paraId="139D7F0E">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4</w:t>
            </w:r>
            <w:r>
              <w:rPr>
                <w:rFonts w:ascii="宋体" w:hAnsi="宋体" w:eastAsia="宋体" w:cs="宋体"/>
                <w:sz w:val="21"/>
                <w:szCs w:val="21"/>
                <w:lang w:eastAsia="zh-CN"/>
              </w:rPr>
              <w:t>每年度服务结束后中标人应提交年度服务报告，包括但不限于维修情况、服务总结、设备运行情况分析、设备存在问题、建议及后续整改措施等。</w:t>
            </w:r>
          </w:p>
          <w:p w14:paraId="02F6C93F">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5</w:t>
            </w:r>
            <w:r>
              <w:rPr>
                <w:rFonts w:ascii="宋体" w:hAnsi="宋体" w:eastAsia="宋体" w:cs="宋体"/>
                <w:sz w:val="21"/>
                <w:szCs w:val="21"/>
                <w:lang w:eastAsia="zh-CN"/>
              </w:rPr>
              <w:t>维保信息记录完整，要求每次维保服务有工单，每台设备有状态标识及现场维保记录，每次服务可溯源。（提供投标人自有设计的服务工单、状态标识相关模板并标注在投标文件中）</w:t>
            </w:r>
          </w:p>
          <w:p w14:paraId="2E7EF1B5">
            <w:pPr>
              <w:spacing w:line="360" w:lineRule="auto"/>
              <w:rPr>
                <w:lang w:eastAsia="zh-CN"/>
              </w:rPr>
            </w:pPr>
            <w:r>
              <w:rPr>
                <w:rFonts w:hint="eastAsia" w:ascii="宋体" w:hAnsi="宋体" w:eastAsia="宋体" w:cs="宋体"/>
                <w:sz w:val="21"/>
                <w:szCs w:val="21"/>
                <w:lang w:eastAsia="zh-CN"/>
              </w:rPr>
              <w:t>6</w:t>
            </w:r>
            <w:r>
              <w:rPr>
                <w:rFonts w:ascii="宋体" w:hAnsi="宋体" w:eastAsia="宋体" w:cs="宋体"/>
                <w:sz w:val="21"/>
                <w:szCs w:val="21"/>
                <w:lang w:eastAsia="zh-CN"/>
              </w:rPr>
              <w:t>服务期内采购人享有中标人提供的系统安全使用必需的软硬件安装升级服务，相关费用包含在投标报价中。</w:t>
            </w:r>
          </w:p>
        </w:tc>
      </w:tr>
      <w:tr w14:paraId="0316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4807D784">
            <w:pPr>
              <w:tabs>
                <w:tab w:val="left" w:pos="360"/>
              </w:tabs>
              <w:spacing w:line="360" w:lineRule="auto"/>
              <w:ind w:firstLine="422" w:firstLineChars="200"/>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▲五、标准响应时间</w:t>
            </w:r>
          </w:p>
          <w:p w14:paraId="69AEF3ED">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highlight w:val="yellow"/>
                <w:lang w:eastAsia="zh-CN"/>
              </w:rPr>
              <w:t>、响应时间为30分钟内电话处理。</w:t>
            </w:r>
          </w:p>
          <w:p w14:paraId="203789E0">
            <w:pPr>
              <w:adjustRightInd w:val="0"/>
              <w:snapToGrid w:val="0"/>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2、现场响应时间：</w:t>
            </w:r>
            <w:r>
              <w:rPr>
                <w:rFonts w:hint="eastAsia" w:ascii="宋体" w:hAnsi="宋体" w:eastAsia="宋体" w:cs="宋体"/>
                <w:sz w:val="21"/>
                <w:szCs w:val="21"/>
                <w:highlight w:val="yellow"/>
                <w:lang w:eastAsia="zh-CN"/>
              </w:rPr>
              <w:t>8个小时内</w:t>
            </w:r>
            <w:r>
              <w:rPr>
                <w:rFonts w:hint="eastAsia" w:ascii="宋体" w:hAnsi="宋体" w:eastAsia="宋体" w:cs="宋体"/>
                <w:sz w:val="21"/>
                <w:szCs w:val="21"/>
                <w:lang w:eastAsia="zh-CN"/>
              </w:rPr>
              <w:t>。如设备故障严重，无法在24小时内修复，中标人有义务提供解决方案，并保证在3个日历日内使设备恢复正常运行；如在3个日历日内无法使设备恢复正常运行，中标人有义务优先提供可行解决方案，保证采购人权益不受损失，并保证尽快修复，同时采购人有权另行聘请第三方予以解决，以上所发生的费用由中标人承担。若中标人在采购人报修后1个日历日不能提供有效服务的，则每延迟1个日历日，中标人应按照合同3个日历日的维保费用向采购人支付违约金，造成采购人损失的，中标人应承担全部赔偿责任。</w:t>
            </w:r>
          </w:p>
        </w:tc>
      </w:tr>
      <w:tr w14:paraId="3467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00D6BCF8">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六、考核制度</w:t>
            </w:r>
          </w:p>
          <w:p w14:paraId="527BC895">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1、属于“服务内容”范围内的工作，维修服务单均要使用科室人员签名确认。</w:t>
            </w:r>
          </w:p>
          <w:p w14:paraId="7BE2AD9F">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 保证开机率：在服务时间内（开机率按每天24小时，全年365个日历日计算），对所保设备开机率承诺保证≥95 %，即正常开机≥346.75 个日历日，停机不超过18.25个日历日。</w:t>
            </w:r>
          </w:p>
          <w:p w14:paraId="5420A8BA">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服务有效期内，双方按付款周期做相应的服务质量考核，服务质量考核标准见合同附件2。综合平均分评分低于【90】分的为不及格，评价不及格的，应在采购人要求的期限内完成有效整改，并向采购人提交整改报告。如中标人未在限期内完成有效整改，将被视为严重违约，采购人有权单方解除合同，同时中标人需按合同总金额的10%向采购人支付违约金，并对采购人遭受的损失进行赔偿。</w:t>
            </w:r>
          </w:p>
        </w:tc>
      </w:tr>
      <w:tr w14:paraId="1A32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0F1A5EB9">
            <w:pPr>
              <w:spacing w:line="360" w:lineRule="auto"/>
              <w:rPr>
                <w:rFonts w:ascii="宋体" w:hAnsi="宋体" w:eastAsia="宋体" w:cs="宋体"/>
                <w:sz w:val="21"/>
                <w:szCs w:val="21"/>
                <w:lang w:eastAsia="zh-CN"/>
              </w:rPr>
            </w:pPr>
            <w:r>
              <w:rPr>
                <w:rFonts w:hint="eastAsia" w:ascii="宋体" w:hAnsi="宋体" w:eastAsia="宋体" w:cs="宋体"/>
                <w:b/>
                <w:bCs/>
                <w:sz w:val="21"/>
                <w:szCs w:val="21"/>
                <w:lang w:eastAsia="zh-CN"/>
              </w:rPr>
              <w:t>七、技术咨询及培训服务：</w:t>
            </w:r>
            <w:r>
              <w:rPr>
                <w:rFonts w:hint="eastAsia" w:ascii="宋体" w:hAnsi="宋体" w:eastAsia="宋体" w:cs="宋体"/>
                <w:sz w:val="21"/>
                <w:szCs w:val="21"/>
                <w:lang w:eastAsia="zh-CN"/>
              </w:rPr>
              <w:t>服务期内，中标人应提供设备使用咨询及必要的现场培训服务，相关费用包含在投标报价中。</w:t>
            </w:r>
          </w:p>
        </w:tc>
      </w:tr>
      <w:tr w14:paraId="2BCD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13146274">
            <w:pPr>
              <w:spacing w:line="360" w:lineRule="auto"/>
              <w:rPr>
                <w:rFonts w:ascii="宋体" w:hAnsi="宋体" w:eastAsia="宋体" w:cs="宋体"/>
                <w:sz w:val="21"/>
                <w:szCs w:val="21"/>
                <w:lang w:eastAsia="zh-CN"/>
              </w:rPr>
            </w:pPr>
            <w:r>
              <w:rPr>
                <w:rFonts w:hint="eastAsia" w:ascii="宋体" w:hAnsi="宋体" w:eastAsia="宋体" w:cs="宋体"/>
                <w:b/>
                <w:bCs/>
                <w:sz w:val="21"/>
                <w:szCs w:val="21"/>
                <w:lang w:eastAsia="zh-CN"/>
              </w:rPr>
              <w:t>八、指定联系人、联系方式：</w:t>
            </w:r>
            <w:r>
              <w:rPr>
                <w:rFonts w:hint="eastAsia" w:ascii="宋体" w:hAnsi="宋体" w:eastAsia="宋体" w:cs="宋体"/>
                <w:sz w:val="21"/>
                <w:szCs w:val="21"/>
                <w:lang w:eastAsia="zh-CN"/>
              </w:rPr>
              <w:t>中标人指定专人负责本项目的维护及联系工作，如更换联系人，应提前告知，并经采购人书面同意。（投标文件中提供指定联系人名单及联系方式，</w:t>
            </w:r>
            <w:r>
              <w:rPr>
                <w:rFonts w:hint="eastAsia" w:ascii="宋体" w:hAnsi="宋体" w:eastAsia="宋体" w:cs="宋体"/>
                <w:color w:val="FF0000"/>
                <w:sz w:val="21"/>
                <w:szCs w:val="21"/>
                <w:lang w:eastAsia="zh-CN"/>
              </w:rPr>
              <w:t>并标注在投标文件中</w:t>
            </w:r>
            <w:r>
              <w:rPr>
                <w:rFonts w:hint="eastAsia" w:ascii="宋体" w:hAnsi="宋体" w:eastAsia="宋体" w:cs="宋体"/>
                <w:sz w:val="21"/>
                <w:szCs w:val="21"/>
                <w:lang w:eastAsia="zh-CN"/>
              </w:rPr>
              <w:t>）。</w:t>
            </w:r>
          </w:p>
        </w:tc>
      </w:tr>
      <w:tr w14:paraId="1821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4BAB98ED">
            <w:pPr>
              <w:spacing w:line="360" w:lineRule="auto"/>
              <w:jc w:val="both"/>
              <w:rPr>
                <w:rFonts w:ascii="宋体" w:hAnsi="宋体" w:eastAsia="宋体" w:cs="宋体"/>
                <w:sz w:val="21"/>
                <w:szCs w:val="21"/>
                <w:lang w:eastAsia="zh-CN"/>
              </w:rPr>
            </w:pPr>
            <w:r>
              <w:rPr>
                <w:rFonts w:hint="eastAsia" w:ascii="宋体" w:hAnsi="宋体" w:eastAsia="宋体" w:cs="宋体"/>
                <w:b/>
                <w:bCs/>
                <w:sz w:val="21"/>
                <w:szCs w:val="21"/>
                <w:lang w:eastAsia="zh-CN"/>
              </w:rPr>
              <w:t>▲九、</w:t>
            </w:r>
            <w:r>
              <w:rPr>
                <w:rFonts w:hint="eastAsia" w:ascii="宋体" w:hAnsi="宋体" w:eastAsia="宋体" w:cs="宋体"/>
                <w:sz w:val="21"/>
                <w:szCs w:val="21"/>
                <w:lang w:eastAsia="zh-CN"/>
              </w:rPr>
              <w:t>投标人在投标文件中提供本项目维保设备生产制造厂家关于维保售后服务的授权或技术合作协议,或提供核心配件的正规渠道采购记录扫描件</w:t>
            </w:r>
            <w:r>
              <w:rPr>
                <w:rFonts w:hint="eastAsia" w:ascii="宋体" w:hAnsi="宋体" w:eastAsia="宋体" w:cs="宋体"/>
                <w:color w:val="000000" w:themeColor="text1"/>
                <w:sz w:val="21"/>
                <w:szCs w:val="21"/>
                <w:lang w:eastAsia="zh-CN"/>
                <w14:textFill>
                  <w14:solidFill>
                    <w14:schemeClr w14:val="tx1"/>
                  </w14:solidFill>
                </w14:textFill>
              </w:rPr>
              <w:t>。同时提供本项目服务设备同品牌型号的维保服务记录（如有）</w:t>
            </w:r>
            <w:r>
              <w:rPr>
                <w:rFonts w:hint="eastAsia" w:ascii="宋体" w:hAnsi="宋体" w:eastAsia="宋体" w:cs="宋体"/>
                <w:color w:val="FF0000"/>
                <w:sz w:val="21"/>
                <w:szCs w:val="21"/>
                <w:lang w:eastAsia="zh-CN"/>
              </w:rPr>
              <w:t>并标注在投标文件中</w:t>
            </w:r>
          </w:p>
        </w:tc>
      </w:tr>
      <w:tr w14:paraId="7C9A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2FEBA547">
            <w:pPr>
              <w:spacing w:line="360" w:lineRule="auto"/>
              <w:rPr>
                <w:rFonts w:ascii="宋体" w:hAnsi="宋体" w:eastAsia="宋体" w:cs="宋体"/>
                <w:b/>
                <w:bCs/>
                <w:sz w:val="21"/>
                <w:szCs w:val="21"/>
                <w:lang w:eastAsia="zh-CN"/>
              </w:rPr>
            </w:pPr>
            <w:r>
              <w:rPr>
                <w:rFonts w:hint="eastAsia" w:ascii="宋体" w:hAnsi="宋体" w:eastAsia="宋体" w:cs="宋体"/>
                <w:b/>
                <w:sz w:val="21"/>
                <w:szCs w:val="21"/>
                <w:lang w:eastAsia="zh-CN"/>
              </w:rPr>
              <w:t>▲十、</w:t>
            </w:r>
            <w:r>
              <w:rPr>
                <w:rFonts w:hint="eastAsia" w:ascii="宋体" w:hAnsi="宋体" w:eastAsia="宋体" w:cs="宋体"/>
                <w:sz w:val="21"/>
                <w:szCs w:val="21"/>
                <w:lang w:eastAsia="zh-CN"/>
              </w:rPr>
              <w:t>维修零配件：投标人必须书面承诺，用于保养及维修中需更换的备件必须为原厂未开封备件，不能使用二手及淘汰的配件，满足医疗器械法律法规管理要求，配件序列号可溯源查证，可到设备原制造厂商的热线系统可查。（投标文件中提供承诺函</w:t>
            </w:r>
            <w:r>
              <w:rPr>
                <w:rFonts w:hint="eastAsia" w:ascii="宋体" w:hAnsi="宋体" w:eastAsia="宋体" w:cs="宋体"/>
                <w:color w:val="FF0000"/>
                <w:sz w:val="21"/>
                <w:szCs w:val="21"/>
                <w:lang w:eastAsia="zh-CN"/>
              </w:rPr>
              <w:t>并标注在投标文件中）</w:t>
            </w:r>
          </w:p>
        </w:tc>
      </w:tr>
      <w:tr w14:paraId="086F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6DF27E07">
            <w:pPr>
              <w:spacing w:line="360" w:lineRule="auto"/>
              <w:rPr>
                <w:rFonts w:ascii="宋体" w:hAnsi="宋体" w:eastAsia="宋体" w:cs="宋体"/>
                <w:b/>
                <w:bCs/>
                <w:sz w:val="21"/>
                <w:szCs w:val="21"/>
                <w:lang w:eastAsia="zh-CN"/>
              </w:rPr>
            </w:pPr>
            <w:r>
              <w:rPr>
                <w:rFonts w:hint="eastAsia" w:ascii="宋体" w:hAnsi="宋体" w:eastAsia="宋体" w:cs="宋体"/>
                <w:b/>
                <w:sz w:val="21"/>
                <w:szCs w:val="21"/>
                <w:lang w:eastAsia="zh-CN"/>
              </w:rPr>
              <w:t>十一、</w:t>
            </w:r>
            <w:r>
              <w:rPr>
                <w:rFonts w:hint="eastAsia" w:ascii="宋体" w:hAnsi="宋体" w:eastAsia="宋体" w:cs="宋体"/>
                <w:bCs/>
                <w:sz w:val="21"/>
                <w:szCs w:val="21"/>
                <w:lang w:eastAsia="zh-CN"/>
              </w:rPr>
              <w:t>投标人在投标文件中需提供服务管理方案，包括但不限于总体模式、服务工具、设施、材料、措施、质量指标、维修应急预案及安全措施、对突发重大事件的响应措施等。</w:t>
            </w:r>
          </w:p>
        </w:tc>
      </w:tr>
      <w:tr w14:paraId="6CD2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320F5BA6">
            <w:pPr>
              <w:tabs>
                <w:tab w:val="left" w:pos="360"/>
              </w:tabs>
              <w:spacing w:line="360" w:lineRule="auto"/>
              <w:ind w:firstLine="422" w:firstLineChars="200"/>
              <w:rPr>
                <w:rFonts w:ascii="宋体" w:hAnsi="宋体" w:eastAsia="宋体" w:cs="宋体"/>
                <w:sz w:val="21"/>
                <w:szCs w:val="21"/>
                <w:lang w:eastAsia="zh-CN"/>
              </w:rPr>
            </w:pPr>
            <w:r>
              <w:rPr>
                <w:rFonts w:hint="eastAsia" w:ascii="宋体" w:hAnsi="宋体" w:eastAsia="宋体" w:cs="宋体"/>
                <w:b/>
                <w:bCs/>
                <w:sz w:val="21"/>
                <w:szCs w:val="21"/>
                <w:lang w:eastAsia="zh-CN"/>
              </w:rPr>
              <w:t>十二、</w:t>
            </w:r>
            <w:r>
              <w:rPr>
                <w:rFonts w:hint="eastAsia" w:ascii="宋体" w:hAnsi="宋体" w:eastAsia="宋体" w:cs="宋体"/>
                <w:b/>
                <w:bCs/>
                <w:sz w:val="21"/>
                <w:szCs w:val="21"/>
                <w:highlight w:val="yellow"/>
                <w:lang w:eastAsia="zh-CN"/>
              </w:rPr>
              <w:t>所需的维保设备具体清单如下:</w:t>
            </w:r>
            <w:r>
              <w:rPr>
                <w:rFonts w:hint="eastAsia" w:ascii="宋体" w:hAnsi="宋体" w:eastAsia="宋体" w:cs="宋体"/>
                <w:sz w:val="21"/>
                <w:szCs w:val="21"/>
                <w:lang w:eastAsia="zh-CN"/>
              </w:rPr>
              <w:t xml:space="preserve"> </w:t>
            </w:r>
          </w:p>
          <w:tbl>
            <w:tblPr>
              <w:tblStyle w:val="8"/>
              <w:tblW w:w="8040" w:type="dxa"/>
              <w:jc w:val="center"/>
              <w:tblLayout w:type="fixed"/>
              <w:tblCellMar>
                <w:top w:w="0" w:type="dxa"/>
                <w:left w:w="0" w:type="dxa"/>
                <w:bottom w:w="0" w:type="dxa"/>
                <w:right w:w="0" w:type="dxa"/>
              </w:tblCellMar>
            </w:tblPr>
            <w:tblGrid>
              <w:gridCol w:w="1997"/>
              <w:gridCol w:w="1283"/>
              <w:gridCol w:w="2121"/>
              <w:gridCol w:w="960"/>
              <w:gridCol w:w="1679"/>
            </w:tblGrid>
            <w:tr w14:paraId="6B82D557">
              <w:tblPrEx>
                <w:tblCellMar>
                  <w:top w:w="0" w:type="dxa"/>
                  <w:left w:w="0" w:type="dxa"/>
                  <w:bottom w:w="0" w:type="dxa"/>
                  <w:right w:w="0" w:type="dxa"/>
                </w:tblCellMar>
              </w:tblPrEx>
              <w:trPr>
                <w:trHeight w:val="288" w:hRule="atLeast"/>
                <w:jc w:val="center"/>
              </w:trPr>
              <w:tc>
                <w:tcPr>
                  <w:tcW w:w="1997" w:type="dxa"/>
                  <w:tcBorders>
                    <w:top w:val="single" w:color="000000" w:sz="4" w:space="0"/>
                    <w:left w:val="single" w:color="000000" w:sz="4" w:space="0"/>
                    <w:bottom w:val="single" w:color="000000" w:sz="4" w:space="0"/>
                    <w:right w:val="single" w:color="000000" w:sz="4" w:space="0"/>
                  </w:tcBorders>
                </w:tcPr>
                <w:p w14:paraId="60E80002">
                  <w:pPr>
                    <w:widowControl/>
                    <w:spacing w:line="360" w:lineRule="auto"/>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名称</w:t>
                  </w:r>
                </w:p>
              </w:tc>
              <w:tc>
                <w:tcPr>
                  <w:tcW w:w="1283"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39E62E50">
                  <w:pPr>
                    <w:widowControl/>
                    <w:spacing w:line="360" w:lineRule="auto"/>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品牌</w:t>
                  </w:r>
                </w:p>
              </w:tc>
              <w:tc>
                <w:tcPr>
                  <w:tcW w:w="2121"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3CCC7403">
                  <w:pPr>
                    <w:widowControl/>
                    <w:spacing w:line="360" w:lineRule="auto"/>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型号</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24262B25">
                  <w:pPr>
                    <w:widowControl/>
                    <w:spacing w:line="360" w:lineRule="auto"/>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数量</w:t>
                  </w:r>
                </w:p>
              </w:tc>
              <w:tc>
                <w:tcPr>
                  <w:tcW w:w="167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559575BB">
                  <w:pPr>
                    <w:widowControl/>
                    <w:spacing w:line="360" w:lineRule="auto"/>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已使用年限</w:t>
                  </w:r>
                </w:p>
              </w:tc>
            </w:tr>
            <w:tr w14:paraId="5A3C3F12">
              <w:tblPrEx>
                <w:tblCellMar>
                  <w:top w:w="0" w:type="dxa"/>
                  <w:left w:w="0" w:type="dxa"/>
                  <w:bottom w:w="0" w:type="dxa"/>
                  <w:right w:w="0" w:type="dxa"/>
                </w:tblCellMar>
              </w:tblPrEx>
              <w:trPr>
                <w:trHeight w:val="288" w:hRule="atLeast"/>
                <w:jc w:val="center"/>
              </w:trPr>
              <w:tc>
                <w:tcPr>
                  <w:tcW w:w="1997" w:type="dxa"/>
                  <w:tcBorders>
                    <w:top w:val="single" w:color="000000" w:sz="4" w:space="0"/>
                    <w:left w:val="single" w:color="000000" w:sz="4" w:space="0"/>
                    <w:bottom w:val="single" w:color="000000" w:sz="4" w:space="0"/>
                    <w:right w:val="single" w:color="000000" w:sz="4" w:space="0"/>
                  </w:tcBorders>
                </w:tcPr>
                <w:p w14:paraId="62094E27">
                  <w:pPr>
                    <w:widowControl/>
                    <w:spacing w:line="360" w:lineRule="auto"/>
                    <w:jc w:val="center"/>
                    <w:textAlignment w:val="center"/>
                    <w:rPr>
                      <w:rFonts w:hint="default" w:ascii="宋体" w:hAnsi="宋体" w:eastAsia="宋体" w:cs="宋体"/>
                      <w:color w:val="000000"/>
                      <w:sz w:val="21"/>
                      <w:szCs w:val="21"/>
                      <w:highlight w:val="yellow"/>
                      <w:lang w:val="en-US" w:eastAsia="zh-CN"/>
                    </w:rPr>
                  </w:pPr>
                  <w:r>
                    <w:rPr>
                      <w:rFonts w:hint="eastAsia" w:ascii="宋体" w:hAnsi="宋体" w:eastAsia="宋体" w:cs="宋体"/>
                      <w:sz w:val="21"/>
                      <w:szCs w:val="21"/>
                      <w:highlight w:val="yellow"/>
                      <w:lang w:val="en-US" w:eastAsia="zh-CN"/>
                    </w:rPr>
                    <w:t>中央纯水系统</w:t>
                  </w:r>
                </w:p>
              </w:tc>
              <w:tc>
                <w:tcPr>
                  <w:tcW w:w="1283"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1926A7D1">
                  <w:pPr>
                    <w:widowControl/>
                    <w:spacing w:line="360" w:lineRule="auto"/>
                    <w:jc w:val="center"/>
                    <w:textAlignment w:val="center"/>
                    <w:rPr>
                      <w:rFonts w:hint="default"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yellow"/>
                      <w:lang w:val="en-US" w:eastAsia="zh-CN"/>
                    </w:rPr>
                    <w:t>威立雅EGLA</w:t>
                  </w:r>
                </w:p>
              </w:tc>
              <w:tc>
                <w:tcPr>
                  <w:tcW w:w="2121"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4E26B3A0">
                  <w:pPr>
                    <w:widowControl/>
                    <w:spacing w:line="360" w:lineRule="auto"/>
                    <w:jc w:val="center"/>
                    <w:textAlignment w:val="center"/>
                    <w:rPr>
                      <w:rFonts w:hint="default" w:ascii="宋体" w:hAnsi="宋体" w:eastAsia="宋体" w:cs="宋体"/>
                      <w:color w:val="000000"/>
                      <w:sz w:val="21"/>
                      <w:szCs w:val="21"/>
                      <w:highlight w:val="yellow"/>
                      <w:lang w:val="en-US" w:eastAsia="zh-CN"/>
                    </w:rPr>
                  </w:pPr>
                  <w:r>
                    <w:rPr>
                      <w:rFonts w:hint="eastAsia" w:ascii="宋体" w:hAnsi="宋体" w:eastAsia="宋体" w:cs="宋体"/>
                      <w:sz w:val="21"/>
                      <w:szCs w:val="21"/>
                      <w:highlight w:val="yellow"/>
                      <w:lang w:val="en-US" w:eastAsia="zh-CN"/>
                    </w:rPr>
                    <w:t>CENTRA 500</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5BA73A76">
                  <w:pPr>
                    <w:widowControl/>
                    <w:spacing w:line="360" w:lineRule="auto"/>
                    <w:jc w:val="center"/>
                    <w:textAlignment w:val="center"/>
                    <w:rPr>
                      <w:rFonts w:ascii="宋体" w:hAnsi="宋体" w:eastAsia="宋体" w:cs="宋体"/>
                      <w:color w:val="000000"/>
                      <w:sz w:val="21"/>
                      <w:szCs w:val="21"/>
                      <w:highlight w:val="yellow"/>
                    </w:rPr>
                  </w:pPr>
                  <w:r>
                    <w:rPr>
                      <w:rFonts w:hint="eastAsia" w:ascii="宋体" w:hAnsi="宋体" w:eastAsia="宋体" w:cs="宋体"/>
                      <w:color w:val="000000"/>
                      <w:sz w:val="21"/>
                      <w:szCs w:val="21"/>
                      <w:highlight w:val="yellow"/>
                      <w:lang w:val="en-US" w:eastAsia="zh-CN"/>
                    </w:rPr>
                    <w:t>2</w:t>
                  </w:r>
                  <w:r>
                    <w:rPr>
                      <w:rFonts w:hint="eastAsia" w:ascii="宋体" w:hAnsi="宋体" w:eastAsia="宋体" w:cs="宋体"/>
                      <w:color w:val="000000"/>
                      <w:sz w:val="21"/>
                      <w:szCs w:val="21"/>
                      <w:highlight w:val="yellow"/>
                    </w:rPr>
                    <w:t>台</w:t>
                  </w:r>
                </w:p>
              </w:tc>
              <w:tc>
                <w:tcPr>
                  <w:tcW w:w="167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04098AA5">
                  <w:pPr>
                    <w:widowControl/>
                    <w:spacing w:line="360" w:lineRule="auto"/>
                    <w:jc w:val="center"/>
                    <w:textAlignment w:val="center"/>
                    <w:rPr>
                      <w:rFonts w:ascii="宋体" w:hAnsi="宋体" w:eastAsia="宋体" w:cs="宋体"/>
                      <w:color w:val="000000"/>
                      <w:sz w:val="21"/>
                      <w:szCs w:val="21"/>
                      <w:highlight w:val="yellow"/>
                    </w:rPr>
                  </w:pPr>
                  <w:r>
                    <w:rPr>
                      <w:rFonts w:hint="eastAsia" w:ascii="宋体" w:hAnsi="宋体" w:eastAsia="宋体" w:cs="宋体"/>
                      <w:color w:val="000000"/>
                      <w:sz w:val="21"/>
                      <w:szCs w:val="21"/>
                      <w:highlight w:val="yellow"/>
                      <w:lang w:val="en-US" w:eastAsia="zh-CN"/>
                    </w:rPr>
                    <w:t>11</w:t>
                  </w:r>
                  <w:r>
                    <w:rPr>
                      <w:rFonts w:hint="eastAsia" w:ascii="宋体" w:hAnsi="宋体" w:eastAsia="宋体" w:cs="宋体"/>
                      <w:color w:val="000000"/>
                      <w:sz w:val="21"/>
                      <w:szCs w:val="21"/>
                      <w:highlight w:val="yellow"/>
                    </w:rPr>
                    <w:t>年</w:t>
                  </w:r>
                </w:p>
              </w:tc>
            </w:tr>
            <w:tr w14:paraId="369E5733">
              <w:tblPrEx>
                <w:tblCellMar>
                  <w:top w:w="0" w:type="dxa"/>
                  <w:left w:w="0" w:type="dxa"/>
                  <w:bottom w:w="0" w:type="dxa"/>
                  <w:right w:w="0" w:type="dxa"/>
                </w:tblCellMar>
              </w:tblPrEx>
              <w:trPr>
                <w:trHeight w:val="288" w:hRule="atLeast"/>
                <w:jc w:val="center"/>
              </w:trPr>
              <w:tc>
                <w:tcPr>
                  <w:tcW w:w="1997" w:type="dxa"/>
                  <w:tcBorders>
                    <w:top w:val="single" w:color="000000" w:sz="4" w:space="0"/>
                    <w:left w:val="single" w:color="000000" w:sz="4" w:space="0"/>
                    <w:bottom w:val="single" w:color="000000" w:sz="4" w:space="0"/>
                    <w:right w:val="single" w:color="000000" w:sz="4" w:space="0"/>
                  </w:tcBorders>
                  <w:shd w:val="clear" w:color="auto" w:fill="auto"/>
                  <w:vAlign w:val="top"/>
                </w:tcPr>
                <w:p w14:paraId="7D582DF1">
                  <w:pPr>
                    <w:widowControl/>
                    <w:spacing w:line="360" w:lineRule="auto"/>
                    <w:jc w:val="center"/>
                    <w:textAlignment w:val="center"/>
                    <w:rPr>
                      <w:rFonts w:hint="eastAsia" w:ascii="宋体" w:hAnsi="宋体" w:eastAsia="宋体" w:cs="宋体"/>
                      <w:color w:val="000000"/>
                      <w:kern w:val="0"/>
                      <w:sz w:val="21"/>
                      <w:szCs w:val="21"/>
                      <w:highlight w:val="yellow"/>
                      <w:lang w:val="en-US" w:eastAsia="zh-CN" w:bidi="ar-SA"/>
                    </w:rPr>
                  </w:pPr>
                  <w:r>
                    <w:rPr>
                      <w:rFonts w:hint="eastAsia" w:ascii="宋体" w:hAnsi="宋体" w:eastAsia="宋体" w:cs="宋体"/>
                      <w:sz w:val="21"/>
                      <w:szCs w:val="21"/>
                      <w:highlight w:val="yellow"/>
                      <w:lang w:val="en-US" w:eastAsia="zh-CN"/>
                    </w:rPr>
                    <w:t>中央纯水系统</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bottom w:w="0" w:type="dxa"/>
                    <w:right w:w="12" w:type="dxa"/>
                  </w:tcMar>
                  <w:vAlign w:val="center"/>
                </w:tcPr>
                <w:p w14:paraId="3F2AE509">
                  <w:pPr>
                    <w:widowControl/>
                    <w:spacing w:line="360" w:lineRule="auto"/>
                    <w:jc w:val="center"/>
                    <w:textAlignment w:val="center"/>
                    <w:rPr>
                      <w:rFonts w:hint="eastAsia" w:ascii="宋体" w:hAnsi="宋体" w:eastAsia="宋体" w:cs="宋体"/>
                      <w:color w:val="000000"/>
                      <w:kern w:val="0"/>
                      <w:sz w:val="21"/>
                      <w:szCs w:val="21"/>
                      <w:highlight w:val="yellow"/>
                      <w:lang w:val="en-US" w:eastAsia="zh-CN" w:bidi="ar-SA"/>
                    </w:rPr>
                  </w:pPr>
                  <w:r>
                    <w:rPr>
                      <w:rFonts w:hint="eastAsia" w:ascii="宋体" w:hAnsi="宋体" w:eastAsia="宋体" w:cs="宋体"/>
                      <w:color w:val="000000"/>
                      <w:sz w:val="21"/>
                      <w:szCs w:val="21"/>
                      <w:highlight w:val="yellow"/>
                      <w:lang w:val="en-US" w:eastAsia="zh-CN"/>
                    </w:rPr>
                    <w:t>威立雅EGLA</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bottom w:w="0" w:type="dxa"/>
                    <w:right w:w="12" w:type="dxa"/>
                  </w:tcMar>
                  <w:vAlign w:val="center"/>
                </w:tcPr>
                <w:p w14:paraId="57979C6B">
                  <w:pPr>
                    <w:widowControl/>
                    <w:spacing w:line="360" w:lineRule="auto"/>
                    <w:jc w:val="center"/>
                    <w:textAlignment w:val="center"/>
                    <w:rPr>
                      <w:rFonts w:hint="eastAsia" w:ascii="宋体" w:hAnsi="宋体" w:eastAsia="宋体" w:cs="宋体"/>
                      <w:color w:val="000000"/>
                      <w:kern w:val="0"/>
                      <w:sz w:val="21"/>
                      <w:szCs w:val="21"/>
                      <w:highlight w:val="yellow"/>
                      <w:lang w:val="en-US" w:eastAsia="zh-CN" w:bidi="ar-SA"/>
                    </w:rPr>
                  </w:pPr>
                  <w:r>
                    <w:rPr>
                      <w:rFonts w:hint="eastAsia" w:ascii="宋体" w:hAnsi="宋体" w:eastAsia="宋体" w:cs="宋体"/>
                      <w:sz w:val="21"/>
                      <w:szCs w:val="21"/>
                      <w:highlight w:val="yellow"/>
                      <w:lang w:val="en-US" w:eastAsia="zh-CN"/>
                    </w:rPr>
                    <w:t>CENTRA 400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bottom w:w="0" w:type="dxa"/>
                    <w:right w:w="12" w:type="dxa"/>
                  </w:tcMar>
                  <w:vAlign w:val="center"/>
                </w:tcPr>
                <w:p w14:paraId="4678820E">
                  <w:pPr>
                    <w:widowControl/>
                    <w:spacing w:line="360" w:lineRule="auto"/>
                    <w:jc w:val="center"/>
                    <w:textAlignment w:val="center"/>
                    <w:rPr>
                      <w:rFonts w:hint="eastAsia" w:ascii="宋体" w:hAnsi="宋体" w:eastAsia="宋体" w:cs="宋体"/>
                      <w:color w:val="000000"/>
                      <w:kern w:val="0"/>
                      <w:sz w:val="21"/>
                      <w:szCs w:val="21"/>
                      <w:highlight w:val="yellow"/>
                      <w:lang w:val="en-US" w:eastAsia="en-US" w:bidi="ar-SA"/>
                    </w:rPr>
                  </w:pPr>
                  <w:r>
                    <w:rPr>
                      <w:rFonts w:hint="eastAsia" w:ascii="宋体" w:hAnsi="宋体" w:eastAsia="宋体" w:cs="宋体"/>
                      <w:color w:val="000000"/>
                      <w:sz w:val="21"/>
                      <w:szCs w:val="21"/>
                      <w:highlight w:val="yellow"/>
                      <w:lang w:val="en-US" w:eastAsia="zh-CN"/>
                    </w:rPr>
                    <w:t>1</w:t>
                  </w:r>
                  <w:r>
                    <w:rPr>
                      <w:rFonts w:hint="eastAsia" w:ascii="宋体" w:hAnsi="宋体" w:eastAsia="宋体" w:cs="宋体"/>
                      <w:color w:val="000000"/>
                      <w:sz w:val="21"/>
                      <w:szCs w:val="21"/>
                      <w:highlight w:val="yellow"/>
                    </w:rPr>
                    <w:t>台</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bottom w:w="0" w:type="dxa"/>
                    <w:right w:w="12" w:type="dxa"/>
                  </w:tcMar>
                  <w:vAlign w:val="center"/>
                </w:tcPr>
                <w:p w14:paraId="5FA28EE8">
                  <w:pPr>
                    <w:widowControl/>
                    <w:spacing w:line="360" w:lineRule="auto"/>
                    <w:jc w:val="center"/>
                    <w:textAlignment w:val="center"/>
                    <w:rPr>
                      <w:rFonts w:hint="eastAsia" w:ascii="宋体" w:hAnsi="宋体" w:eastAsia="宋体" w:cs="宋体"/>
                      <w:color w:val="000000"/>
                      <w:kern w:val="0"/>
                      <w:sz w:val="21"/>
                      <w:szCs w:val="21"/>
                      <w:highlight w:val="yellow"/>
                      <w:lang w:val="en-US" w:eastAsia="en-US" w:bidi="ar-SA"/>
                    </w:rPr>
                  </w:pPr>
                  <w:r>
                    <w:rPr>
                      <w:rFonts w:hint="eastAsia" w:ascii="宋体" w:hAnsi="宋体" w:eastAsia="宋体" w:cs="宋体"/>
                      <w:color w:val="000000"/>
                      <w:sz w:val="21"/>
                      <w:szCs w:val="21"/>
                      <w:highlight w:val="yellow"/>
                      <w:lang w:val="en-US" w:eastAsia="zh-CN"/>
                    </w:rPr>
                    <w:t>3</w:t>
                  </w:r>
                  <w:r>
                    <w:rPr>
                      <w:rFonts w:hint="eastAsia" w:ascii="宋体" w:hAnsi="宋体" w:eastAsia="宋体" w:cs="宋体"/>
                      <w:color w:val="000000"/>
                      <w:sz w:val="21"/>
                      <w:szCs w:val="21"/>
                      <w:highlight w:val="yellow"/>
                    </w:rPr>
                    <w:t>年</w:t>
                  </w:r>
                </w:p>
              </w:tc>
            </w:tr>
            <w:tr w14:paraId="5F58968F">
              <w:tblPrEx>
                <w:tblCellMar>
                  <w:top w:w="0" w:type="dxa"/>
                  <w:left w:w="0" w:type="dxa"/>
                  <w:bottom w:w="0" w:type="dxa"/>
                  <w:right w:w="0" w:type="dxa"/>
                </w:tblCellMar>
              </w:tblPrEx>
              <w:trPr>
                <w:trHeight w:val="288" w:hRule="atLeast"/>
                <w:jc w:val="center"/>
              </w:trPr>
              <w:tc>
                <w:tcPr>
                  <w:tcW w:w="1997" w:type="dxa"/>
                  <w:tcBorders>
                    <w:top w:val="single" w:color="000000" w:sz="4" w:space="0"/>
                    <w:left w:val="single" w:color="000000" w:sz="4" w:space="0"/>
                    <w:bottom w:val="single" w:color="000000" w:sz="4" w:space="0"/>
                    <w:right w:val="single" w:color="000000" w:sz="4" w:space="0"/>
                  </w:tcBorders>
                  <w:shd w:val="clear" w:color="auto" w:fill="auto"/>
                  <w:vAlign w:val="top"/>
                </w:tcPr>
                <w:p w14:paraId="6ACBF356">
                  <w:pPr>
                    <w:widowControl/>
                    <w:spacing w:line="360" w:lineRule="auto"/>
                    <w:jc w:val="center"/>
                    <w:textAlignment w:val="center"/>
                    <w:rPr>
                      <w:rFonts w:hint="eastAsia" w:ascii="宋体" w:hAnsi="宋体" w:eastAsia="宋体" w:cs="宋体"/>
                      <w:color w:val="000000"/>
                      <w:kern w:val="0"/>
                      <w:sz w:val="21"/>
                      <w:szCs w:val="21"/>
                      <w:highlight w:val="yellow"/>
                      <w:lang w:val="en-US" w:eastAsia="zh-CN" w:bidi="ar-SA"/>
                    </w:rPr>
                  </w:pPr>
                  <w:r>
                    <w:rPr>
                      <w:rFonts w:hint="eastAsia" w:ascii="宋体" w:hAnsi="宋体" w:eastAsia="宋体" w:cs="宋体"/>
                      <w:sz w:val="21"/>
                      <w:szCs w:val="21"/>
                      <w:highlight w:val="yellow"/>
                      <w:lang w:val="en-US" w:eastAsia="zh-CN"/>
                    </w:rPr>
                    <w:t>中央纯水系统</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bottom w:w="0" w:type="dxa"/>
                    <w:right w:w="12" w:type="dxa"/>
                  </w:tcMar>
                  <w:vAlign w:val="center"/>
                </w:tcPr>
                <w:p w14:paraId="16059121">
                  <w:pPr>
                    <w:widowControl/>
                    <w:spacing w:line="360" w:lineRule="auto"/>
                    <w:jc w:val="center"/>
                    <w:textAlignment w:val="center"/>
                    <w:rPr>
                      <w:rFonts w:hint="eastAsia" w:ascii="宋体" w:hAnsi="宋体" w:eastAsia="宋体" w:cs="宋体"/>
                      <w:color w:val="000000"/>
                      <w:kern w:val="0"/>
                      <w:sz w:val="21"/>
                      <w:szCs w:val="21"/>
                      <w:highlight w:val="yellow"/>
                      <w:lang w:val="en-US" w:eastAsia="zh-CN" w:bidi="ar-SA"/>
                    </w:rPr>
                  </w:pPr>
                  <w:r>
                    <w:rPr>
                      <w:rFonts w:hint="eastAsia" w:ascii="宋体" w:hAnsi="宋体" w:eastAsia="宋体" w:cs="宋体"/>
                      <w:color w:val="000000"/>
                      <w:sz w:val="21"/>
                      <w:szCs w:val="21"/>
                      <w:highlight w:val="yellow"/>
                      <w:lang w:val="en-US" w:eastAsia="zh-CN"/>
                    </w:rPr>
                    <w:t>威立雅EGLA</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bottom w:w="0" w:type="dxa"/>
                    <w:right w:w="12" w:type="dxa"/>
                  </w:tcMar>
                  <w:vAlign w:val="center"/>
                </w:tcPr>
                <w:p w14:paraId="33F39AD2">
                  <w:pPr>
                    <w:widowControl/>
                    <w:spacing w:line="360" w:lineRule="auto"/>
                    <w:jc w:val="center"/>
                    <w:textAlignment w:val="center"/>
                    <w:rPr>
                      <w:rFonts w:hint="default" w:ascii="宋体" w:hAnsi="宋体" w:eastAsia="宋体" w:cs="宋体"/>
                      <w:color w:val="000000"/>
                      <w:kern w:val="0"/>
                      <w:sz w:val="21"/>
                      <w:szCs w:val="21"/>
                      <w:highlight w:val="yellow"/>
                      <w:lang w:val="en-US" w:eastAsia="zh-CN" w:bidi="ar-SA"/>
                    </w:rPr>
                  </w:pPr>
                  <w:r>
                    <w:rPr>
                      <w:rFonts w:hint="eastAsia" w:ascii="宋体" w:hAnsi="宋体" w:eastAsia="宋体" w:cs="宋体"/>
                      <w:sz w:val="21"/>
                      <w:szCs w:val="21"/>
                      <w:highlight w:val="yellow"/>
                      <w:lang w:val="en-US" w:eastAsia="zh-CN"/>
                    </w:rPr>
                    <w:t>CENTRA R120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bottom w:w="0" w:type="dxa"/>
                    <w:right w:w="12" w:type="dxa"/>
                  </w:tcMar>
                  <w:vAlign w:val="center"/>
                </w:tcPr>
                <w:p w14:paraId="1D5ACFB6">
                  <w:pPr>
                    <w:widowControl/>
                    <w:spacing w:line="360" w:lineRule="auto"/>
                    <w:jc w:val="center"/>
                    <w:textAlignment w:val="center"/>
                    <w:rPr>
                      <w:rFonts w:hint="eastAsia" w:ascii="宋体" w:hAnsi="宋体" w:eastAsia="宋体" w:cs="宋体"/>
                      <w:color w:val="000000"/>
                      <w:kern w:val="0"/>
                      <w:sz w:val="21"/>
                      <w:szCs w:val="21"/>
                      <w:highlight w:val="yellow"/>
                      <w:lang w:val="en-US" w:eastAsia="en-US" w:bidi="ar-SA"/>
                    </w:rPr>
                  </w:pPr>
                  <w:r>
                    <w:rPr>
                      <w:rFonts w:hint="eastAsia" w:ascii="宋体" w:hAnsi="宋体" w:eastAsia="宋体" w:cs="宋体"/>
                      <w:color w:val="000000"/>
                      <w:sz w:val="21"/>
                      <w:szCs w:val="21"/>
                      <w:highlight w:val="yellow"/>
                      <w:lang w:val="en-US" w:eastAsia="zh-CN"/>
                    </w:rPr>
                    <w:t>1</w:t>
                  </w:r>
                  <w:r>
                    <w:rPr>
                      <w:rFonts w:hint="eastAsia" w:ascii="宋体" w:hAnsi="宋体" w:eastAsia="宋体" w:cs="宋体"/>
                      <w:color w:val="000000"/>
                      <w:sz w:val="21"/>
                      <w:szCs w:val="21"/>
                      <w:highlight w:val="yellow"/>
                    </w:rPr>
                    <w:t>台</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bottom w:w="0" w:type="dxa"/>
                    <w:right w:w="12" w:type="dxa"/>
                  </w:tcMar>
                  <w:vAlign w:val="center"/>
                </w:tcPr>
                <w:p w14:paraId="52C6565B">
                  <w:pPr>
                    <w:widowControl/>
                    <w:spacing w:line="360" w:lineRule="auto"/>
                    <w:jc w:val="center"/>
                    <w:textAlignment w:val="center"/>
                    <w:rPr>
                      <w:rFonts w:hint="eastAsia" w:ascii="宋体" w:hAnsi="宋体" w:eastAsia="宋体" w:cs="宋体"/>
                      <w:color w:val="000000"/>
                      <w:kern w:val="0"/>
                      <w:sz w:val="21"/>
                      <w:szCs w:val="21"/>
                      <w:highlight w:val="yellow"/>
                      <w:lang w:val="en-US" w:eastAsia="en-US" w:bidi="ar-SA"/>
                    </w:rPr>
                  </w:pPr>
                  <w:r>
                    <w:rPr>
                      <w:rFonts w:hint="eastAsia" w:ascii="宋体" w:hAnsi="宋体" w:eastAsia="宋体" w:cs="宋体"/>
                      <w:color w:val="000000"/>
                      <w:sz w:val="21"/>
                      <w:szCs w:val="21"/>
                      <w:highlight w:val="yellow"/>
                      <w:lang w:val="en-US" w:eastAsia="zh-CN"/>
                    </w:rPr>
                    <w:t>7</w:t>
                  </w:r>
                  <w:r>
                    <w:rPr>
                      <w:rFonts w:hint="eastAsia" w:ascii="宋体" w:hAnsi="宋体" w:eastAsia="宋体" w:cs="宋体"/>
                      <w:color w:val="000000"/>
                      <w:sz w:val="21"/>
                      <w:szCs w:val="21"/>
                      <w:highlight w:val="yellow"/>
                    </w:rPr>
                    <w:t>年</w:t>
                  </w:r>
                </w:p>
              </w:tc>
            </w:tr>
          </w:tbl>
          <w:p w14:paraId="3CE4E125">
            <w:pPr>
              <w:tabs>
                <w:tab w:val="left" w:pos="360"/>
              </w:tabs>
              <w:spacing w:line="360" w:lineRule="auto"/>
              <w:ind w:firstLine="420" w:firstLineChars="200"/>
              <w:rPr>
                <w:rFonts w:ascii="宋体" w:hAnsi="宋体" w:eastAsia="宋体" w:cs="宋体"/>
                <w:sz w:val="21"/>
                <w:szCs w:val="21"/>
                <w:lang w:eastAsia="zh-CN"/>
              </w:rPr>
            </w:pPr>
          </w:p>
        </w:tc>
      </w:tr>
    </w:tbl>
    <w:p w14:paraId="1EC65A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F5F"/>
    <w:rsid w:val="00087DBC"/>
    <w:rsid w:val="000C7652"/>
    <w:rsid w:val="0014406A"/>
    <w:rsid w:val="001971EA"/>
    <w:rsid w:val="002152AF"/>
    <w:rsid w:val="006C13E7"/>
    <w:rsid w:val="007A5101"/>
    <w:rsid w:val="00811D35"/>
    <w:rsid w:val="00821F5F"/>
    <w:rsid w:val="009D2D83"/>
    <w:rsid w:val="00A918F6"/>
    <w:rsid w:val="00AB3165"/>
    <w:rsid w:val="00C24F09"/>
    <w:rsid w:val="00D413A3"/>
    <w:rsid w:val="00D5640A"/>
    <w:rsid w:val="00E16309"/>
    <w:rsid w:val="00E2596B"/>
    <w:rsid w:val="00E27950"/>
    <w:rsid w:val="00E4212C"/>
    <w:rsid w:val="00F53FC1"/>
    <w:rsid w:val="35AC154D"/>
    <w:rsid w:val="40022F93"/>
    <w:rsid w:val="5E460D9F"/>
    <w:rsid w:val="61B11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imes New Roman" w:hAnsi="Times New Roman" w:eastAsia="Calibri" w:cs="Times New Roman"/>
      <w:kern w:val="0"/>
      <w:sz w:val="22"/>
      <w:szCs w:val="22"/>
      <w:lang w:val="en-US" w:eastAsia="en-US"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3"/>
    <w:unhideWhenUsed/>
    <w:qFormat/>
    <w:uiPriority w:val="1"/>
    <w:pPr>
      <w:spacing w:after="120"/>
    </w:pPr>
  </w:style>
  <w:style w:type="paragraph" w:styleId="3">
    <w:name w:val="annotation text"/>
    <w:basedOn w:val="1"/>
    <w:link w:val="14"/>
    <w:semiHidden/>
    <w:unhideWhenUsed/>
    <w:qFormat/>
    <w:uiPriority w:val="0"/>
  </w:style>
  <w:style w:type="paragraph" w:styleId="4">
    <w:name w:val="Balloon Text"/>
    <w:basedOn w:val="1"/>
    <w:link w:val="16"/>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7">
    <w:name w:val="Body Text Indent 3"/>
    <w:basedOn w:val="1"/>
    <w:link w:val="15"/>
    <w:semiHidden/>
    <w:unhideWhenUsed/>
    <w:qFormat/>
    <w:uiPriority w:val="99"/>
    <w:pPr>
      <w:spacing w:after="120"/>
      <w:ind w:left="420" w:leftChars="200"/>
    </w:pPr>
    <w:rPr>
      <w:sz w:val="16"/>
      <w:szCs w:val="16"/>
    </w:rPr>
  </w:style>
  <w:style w:type="character" w:styleId="10">
    <w:name w:val="annotation reference"/>
    <w:basedOn w:val="9"/>
    <w:semiHidden/>
    <w:unhideWhenUsed/>
    <w:qFormat/>
    <w:uiPriority w:val="0"/>
    <w:rPr>
      <w:sz w:val="21"/>
      <w:szCs w:val="21"/>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正文文本 Char"/>
    <w:basedOn w:val="9"/>
    <w:link w:val="2"/>
    <w:qFormat/>
    <w:uiPriority w:val="1"/>
    <w:rPr>
      <w:rFonts w:ascii="Times New Roman" w:hAnsi="Times New Roman" w:eastAsia="Calibri" w:cs="Times New Roman"/>
      <w:kern w:val="0"/>
      <w:sz w:val="22"/>
      <w:lang w:eastAsia="en-US"/>
    </w:rPr>
  </w:style>
  <w:style w:type="character" w:customStyle="1" w:styleId="14">
    <w:name w:val="批注文字 Char"/>
    <w:basedOn w:val="9"/>
    <w:link w:val="3"/>
    <w:semiHidden/>
    <w:qFormat/>
    <w:uiPriority w:val="0"/>
    <w:rPr>
      <w:rFonts w:ascii="Times New Roman" w:hAnsi="Times New Roman" w:eastAsia="Calibri" w:cs="Times New Roman"/>
      <w:kern w:val="0"/>
      <w:sz w:val="22"/>
      <w:lang w:eastAsia="en-US"/>
    </w:rPr>
  </w:style>
  <w:style w:type="character" w:customStyle="1" w:styleId="15">
    <w:name w:val="正文文本缩进 3 Char"/>
    <w:basedOn w:val="9"/>
    <w:link w:val="7"/>
    <w:semiHidden/>
    <w:qFormat/>
    <w:uiPriority w:val="99"/>
    <w:rPr>
      <w:rFonts w:ascii="Times New Roman" w:hAnsi="Times New Roman" w:eastAsia="Calibri" w:cs="Times New Roman"/>
      <w:kern w:val="0"/>
      <w:sz w:val="16"/>
      <w:szCs w:val="16"/>
      <w:lang w:eastAsia="en-US"/>
    </w:rPr>
  </w:style>
  <w:style w:type="character" w:customStyle="1" w:styleId="16">
    <w:name w:val="批注框文本 Char"/>
    <w:basedOn w:val="9"/>
    <w:link w:val="4"/>
    <w:semiHidden/>
    <w:qFormat/>
    <w:uiPriority w:val="99"/>
    <w:rPr>
      <w:rFonts w:ascii="Times New Roman" w:hAnsi="Times New Roman" w:eastAsia="Calibri" w:cs="Times New Roman"/>
      <w:kern w:val="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2378</Words>
  <Characters>2462</Characters>
  <Lines>16</Lines>
  <Paragraphs>4</Paragraphs>
  <TotalTime>9</TotalTime>
  <ScaleCrop>false</ScaleCrop>
  <LinksUpToDate>false</LinksUpToDate>
  <CharactersWithSpaces>2471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2024-07-16T02:06:00Z</dcterms:created>
  <dc:creator>微软用户</dc:creator>
  <cp:lastModifiedBy>David.宁  </cp:lastModifiedBy>
  <dcterms:modified xsi:type="dcterms:W3CDTF">2025-07-30T02:32:54Z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eyJoZGlkIjoiMzRkMDNmNjgzMmNmZjU1Yzk2MWNmMmRkY2ViZjcxYzUiLCJ1c2VySWQiOiIyODI3MTE0ODUifQ==</vt:lpwstr>
  </property>
  <property fmtid="{D5CDD505-2E9C-101B-9397-08002B2CF9AE}" pid="3" name="KSOProductBuildVer">
    <vt:lpwstr>2052-12.1.0.21915</vt:lpwstr>
  </property>
  <property fmtid="{D5CDD505-2E9C-101B-9397-08002B2CF9AE}" pid="4" name="ICV">
    <vt:lpwstr>FA41B3363BDA4535A429D836D2883D58_13</vt:lpwstr>
  </property>
</Properties>
</file>