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28943">
      <w:pPr>
        <w:tabs>
          <w:tab w:val="left" w:pos="420"/>
        </w:tabs>
        <w:spacing w:line="360" w:lineRule="auto"/>
        <w:jc w:val="left"/>
        <w:rPr>
          <w:rFonts w:hint="default" w:ascii="宋体" w:hAnsi="宋体"/>
          <w:lang w:val="en-US" w:eastAsia="zh-CN"/>
        </w:rPr>
      </w:pPr>
      <w:r>
        <w:rPr>
          <w:rFonts w:hint="eastAsia" w:ascii="宋体" w:hAnsi="宋体"/>
          <w:lang w:val="en-US" w:eastAsia="zh-CN"/>
        </w:rPr>
        <w:t>一、采购需求</w:t>
      </w:r>
    </w:p>
    <w:p w14:paraId="7F5FA762">
      <w:pPr>
        <w:numPr>
          <w:ilvl w:val="0"/>
          <w:numId w:val="1"/>
        </w:numPr>
        <w:spacing w:line="360" w:lineRule="auto"/>
        <w:jc w:val="left"/>
        <w:rPr>
          <w:rFonts w:ascii="宋体" w:hAnsi="宋体"/>
          <w:color w:val="36363D"/>
        </w:rPr>
      </w:pPr>
      <w:r>
        <w:rPr>
          <w:rFonts w:hint="eastAsia" w:ascii="宋体" w:hAnsi="宋体"/>
          <w:color w:val="36363D"/>
        </w:rPr>
        <w:t>注册适用范围为用于盆底功能障碍的辅助治疗。</w:t>
      </w:r>
    </w:p>
    <w:p w14:paraId="05A8378E">
      <w:pPr>
        <w:numPr>
          <w:ilvl w:val="0"/>
          <w:numId w:val="2"/>
        </w:numPr>
        <w:spacing w:line="360" w:lineRule="auto"/>
        <w:ind w:firstLine="0"/>
        <w:jc w:val="left"/>
        <w:rPr>
          <w:rFonts w:ascii="宋体" w:hAnsi="宋体"/>
          <w:color w:val="36363D"/>
        </w:rPr>
      </w:pPr>
      <w:r>
        <w:rPr>
          <w:rFonts w:hint="eastAsia" w:ascii="宋体" w:hAnsi="宋体"/>
          <w:color w:val="36363D"/>
        </w:rPr>
        <w:t>至少具有二</w:t>
      </w:r>
      <w:r>
        <w:rPr>
          <w:rFonts w:ascii="宋体" w:hAnsi="宋体"/>
          <w:color w:val="36363D"/>
        </w:rPr>
        <w:t>个电刺激通道</w:t>
      </w:r>
      <w:r>
        <w:rPr>
          <w:rFonts w:hint="eastAsia" w:ascii="宋体" w:hAnsi="宋体"/>
          <w:color w:val="36363D"/>
        </w:rPr>
        <w:t>、二个生物反馈通道、</w:t>
      </w:r>
      <w:r>
        <w:rPr>
          <w:rFonts w:ascii="宋体" w:hAnsi="宋体"/>
          <w:color w:val="36363D"/>
        </w:rPr>
        <w:t>一个</w:t>
      </w:r>
      <w:r>
        <w:rPr>
          <w:rFonts w:hint="eastAsia" w:ascii="宋体" w:hAnsi="宋体"/>
          <w:color w:val="36363D"/>
        </w:rPr>
        <w:t>内置</w:t>
      </w:r>
      <w:r>
        <w:rPr>
          <w:rFonts w:ascii="宋体" w:hAnsi="宋体"/>
          <w:color w:val="36363D"/>
        </w:rPr>
        <w:t>压力通道</w:t>
      </w:r>
      <w:r>
        <w:rPr>
          <w:rFonts w:hint="eastAsia" w:ascii="宋体" w:hAnsi="宋体"/>
          <w:color w:val="36363D"/>
        </w:rPr>
        <w:t>、一</w:t>
      </w:r>
      <w:r>
        <w:rPr>
          <w:rFonts w:ascii="宋体" w:hAnsi="宋体"/>
          <w:color w:val="36363D"/>
        </w:rPr>
        <w:t>个</w:t>
      </w:r>
      <w:r>
        <w:rPr>
          <w:rFonts w:hint="eastAsia" w:ascii="宋体" w:hAnsi="宋体"/>
          <w:color w:val="36363D"/>
        </w:rPr>
        <w:t>线控</w:t>
      </w:r>
      <w:r>
        <w:rPr>
          <w:rFonts w:ascii="宋体" w:hAnsi="宋体"/>
          <w:color w:val="36363D"/>
        </w:rPr>
        <w:t>通道</w:t>
      </w:r>
      <w:r>
        <w:rPr>
          <w:rFonts w:hint="eastAsia" w:ascii="宋体" w:hAnsi="宋体"/>
          <w:color w:val="36363D"/>
        </w:rPr>
        <w:t>。</w:t>
      </w:r>
    </w:p>
    <w:p w14:paraId="7EC7B312">
      <w:pPr>
        <w:numPr>
          <w:ilvl w:val="0"/>
          <w:numId w:val="2"/>
        </w:numPr>
        <w:spacing w:line="360" w:lineRule="auto"/>
        <w:ind w:firstLine="0"/>
        <w:jc w:val="left"/>
        <w:rPr>
          <w:rFonts w:ascii="宋体" w:hAnsi="宋体"/>
          <w:color w:val="36363D"/>
        </w:rPr>
      </w:pPr>
      <w:r>
        <w:rPr>
          <w:rFonts w:hint="eastAsia" w:ascii="宋体" w:hAnsi="宋体"/>
          <w:b/>
          <w:bCs/>
          <w:color w:val="36363D"/>
        </w:rPr>
        <w:t>▲</w:t>
      </w:r>
      <w:r>
        <w:rPr>
          <w:rFonts w:hint="eastAsia" w:ascii="宋体" w:hAnsi="宋体"/>
          <w:color w:val="36363D"/>
        </w:rPr>
        <w:t>肌电信号测量范围≥1-1500μ</w:t>
      </w:r>
      <w:r>
        <w:rPr>
          <w:rFonts w:ascii="宋体" w:hAnsi="宋体"/>
          <w:color w:val="36363D"/>
        </w:rPr>
        <w:t>V</w:t>
      </w:r>
      <w:r>
        <w:rPr>
          <w:rFonts w:hint="eastAsia" w:ascii="宋体" w:hAnsi="宋体"/>
          <w:color w:val="36363D"/>
        </w:rPr>
        <w:t>，肌电信号分辨率≤0.5μV，差模输入阻抗≥8 MΩ，刺激频率≥2-200Hz，刺激脉宽≥50-700μS。基础气压≥50mmHg，压力测量范围 ≥10-105mmHg，测量分辨率≤1mmHg。（提供注册检验报告）</w:t>
      </w:r>
    </w:p>
    <w:p w14:paraId="6157B566">
      <w:pPr>
        <w:numPr>
          <w:ilvl w:val="0"/>
          <w:numId w:val="2"/>
        </w:numPr>
        <w:spacing w:line="360" w:lineRule="auto"/>
        <w:ind w:firstLine="0"/>
        <w:jc w:val="left"/>
        <w:rPr>
          <w:rFonts w:ascii="宋体" w:hAnsi="宋体"/>
          <w:color w:val="36363D"/>
        </w:rPr>
      </w:pPr>
      <w:r>
        <w:rPr>
          <w:rFonts w:hint="eastAsia" w:ascii="宋体" w:hAnsi="宋体"/>
          <w:b/>
          <w:color w:val="36363D"/>
        </w:rPr>
        <w:t>▲</w:t>
      </w:r>
      <w:r>
        <w:rPr>
          <w:rFonts w:hint="eastAsia" w:ascii="宋体" w:hAnsi="宋体"/>
          <w:color w:val="36363D"/>
        </w:rPr>
        <w:t>具有线控功能，可通过手动线控开关和脚踏开关分别实现电流强度的调节和电刺激输出的关闭。（提供注册检验报告）</w:t>
      </w:r>
    </w:p>
    <w:p w14:paraId="45888DFD">
      <w:pPr>
        <w:numPr>
          <w:ilvl w:val="0"/>
          <w:numId w:val="2"/>
        </w:numPr>
        <w:spacing w:line="360" w:lineRule="auto"/>
        <w:ind w:firstLine="0"/>
        <w:jc w:val="left"/>
        <w:rPr>
          <w:rFonts w:ascii="宋体" w:hAnsi="宋体"/>
          <w:color w:val="36363D"/>
        </w:rPr>
      </w:pPr>
      <w:r>
        <w:rPr>
          <w:rFonts w:hint="eastAsia" w:ascii="宋体" w:hAnsi="宋体"/>
          <w:b/>
          <w:color w:val="36363D"/>
        </w:rPr>
        <w:t>▲</w:t>
      </w:r>
      <w:r>
        <w:rPr>
          <w:rFonts w:hint="eastAsia" w:ascii="宋体" w:hAnsi="宋体"/>
          <w:color w:val="36363D"/>
        </w:rPr>
        <w:t>可配置脚踏开关，脚踏开关的启动力范围≥10-50N。（提供注册检验报告）</w:t>
      </w:r>
    </w:p>
    <w:p w14:paraId="068CF2B8">
      <w:pPr>
        <w:numPr>
          <w:ilvl w:val="0"/>
          <w:numId w:val="2"/>
        </w:numPr>
        <w:spacing w:line="360" w:lineRule="auto"/>
        <w:ind w:firstLine="0"/>
        <w:jc w:val="left"/>
        <w:rPr>
          <w:rFonts w:ascii="宋体" w:hAnsi="宋体"/>
          <w:color w:val="36363D"/>
        </w:rPr>
      </w:pPr>
      <w:r>
        <w:rPr>
          <w:rFonts w:hint="eastAsia" w:ascii="宋体" w:hAnsi="宋体"/>
          <w:color w:val="36363D"/>
        </w:rPr>
        <w:t>一体化设计，刺激反馈主机内置于工作站推车机箱内，抗电磁干扰良好。</w:t>
      </w:r>
    </w:p>
    <w:p w14:paraId="62403F98">
      <w:pPr>
        <w:numPr>
          <w:ilvl w:val="0"/>
          <w:numId w:val="2"/>
        </w:numPr>
        <w:spacing w:line="360" w:lineRule="auto"/>
        <w:ind w:firstLine="0"/>
        <w:jc w:val="left"/>
        <w:rPr>
          <w:rFonts w:ascii="宋体" w:hAnsi="宋体"/>
          <w:color w:val="36363D"/>
        </w:rPr>
      </w:pPr>
      <w:r>
        <w:rPr>
          <w:rFonts w:hint="eastAsia" w:ascii="宋体" w:hAnsi="宋体"/>
          <w:color w:val="36363D"/>
        </w:rPr>
        <w:t>▲可通过信息管理平台对接手持式盆底康复设备，实现患者居家治疗管理，且手持式盆底康复设备与生物刺激反馈仪为同一品牌。</w:t>
      </w:r>
    </w:p>
    <w:p w14:paraId="08618907">
      <w:pPr>
        <w:numPr>
          <w:ilvl w:val="0"/>
          <w:numId w:val="2"/>
        </w:numPr>
        <w:spacing w:line="360" w:lineRule="auto"/>
        <w:ind w:firstLine="0"/>
        <w:jc w:val="left"/>
        <w:rPr>
          <w:rFonts w:ascii="宋体" w:hAnsi="宋体"/>
          <w:color w:val="36363D"/>
        </w:rPr>
      </w:pPr>
      <w:r>
        <w:rPr>
          <w:rFonts w:hint="eastAsia" w:ascii="宋体" w:hAnsi="宋体"/>
          <w:b/>
          <w:color w:val="36363D"/>
        </w:rPr>
        <w:t>▲</w:t>
      </w:r>
      <w:r>
        <w:rPr>
          <w:rFonts w:hint="eastAsia" w:ascii="宋体" w:hAnsi="宋体"/>
          <w:color w:val="36363D"/>
        </w:rPr>
        <w:t>手持式盆底康复设备的注册适用范围包括催乳、促进产后排尿、子宫复旧、镇痛、肌肉功能障碍等治疗应用。（提供产品注册证）</w:t>
      </w:r>
    </w:p>
    <w:p w14:paraId="485A33FD">
      <w:pPr>
        <w:numPr>
          <w:ilvl w:val="0"/>
          <w:numId w:val="2"/>
        </w:numPr>
        <w:spacing w:line="360" w:lineRule="auto"/>
        <w:ind w:firstLine="0"/>
        <w:jc w:val="left"/>
        <w:rPr>
          <w:rFonts w:ascii="宋体" w:hAnsi="宋体"/>
          <w:color w:val="36363D"/>
        </w:rPr>
      </w:pPr>
      <w:r>
        <w:rPr>
          <w:rFonts w:hint="eastAsia" w:ascii="宋体" w:hAnsi="宋体"/>
          <w:b/>
          <w:color w:val="36363D"/>
        </w:rPr>
        <w:t>▲</w:t>
      </w:r>
      <w:r>
        <w:rPr>
          <w:rFonts w:hint="eastAsia" w:ascii="宋体" w:hAnsi="宋体"/>
          <w:color w:val="36363D"/>
        </w:rPr>
        <w:t>手持式盆底康复设备具有两个独立电刺激及生物反馈通道，且配有通道指示灯。主机防尘防进液等级≥IP22。（提供产品彩页）</w:t>
      </w:r>
    </w:p>
    <w:p w14:paraId="4B8A26E1">
      <w:pPr>
        <w:numPr>
          <w:ilvl w:val="0"/>
          <w:numId w:val="2"/>
        </w:numPr>
        <w:spacing w:line="360" w:lineRule="auto"/>
        <w:ind w:firstLine="0"/>
        <w:jc w:val="left"/>
        <w:rPr>
          <w:rFonts w:ascii="宋体" w:hAnsi="宋体"/>
          <w:color w:val="36363D"/>
        </w:rPr>
      </w:pPr>
      <w:r>
        <w:rPr>
          <w:rFonts w:hint="eastAsia" w:ascii="宋体" w:hAnsi="宋体"/>
          <w:b/>
          <w:color w:val="36363D"/>
        </w:rPr>
        <w:t>▲</w:t>
      </w:r>
      <w:r>
        <w:rPr>
          <w:rFonts w:hint="eastAsia" w:ascii="宋体" w:hAnsi="宋体"/>
          <w:color w:val="36363D"/>
        </w:rPr>
        <w:t>手持式盆底康复设备的肌电测量范围≥1-2900µV，分辨率≤0.5µV，差模输入阻抗≥10MΩ，刺激频率≥2-150Hz，刺激脉宽≥50-500µs，电流强度≥0-100mA。具有单相波、双相波和交替波三种基准脉冲波形。（提供注册检验报告）</w:t>
      </w:r>
    </w:p>
    <w:p w14:paraId="7791184B">
      <w:pPr>
        <w:numPr>
          <w:ilvl w:val="0"/>
          <w:numId w:val="2"/>
        </w:numPr>
        <w:spacing w:line="360" w:lineRule="auto"/>
        <w:ind w:firstLine="0"/>
        <w:jc w:val="left"/>
        <w:rPr>
          <w:rFonts w:ascii="宋体" w:hAnsi="宋体"/>
          <w:color w:val="36363D"/>
        </w:rPr>
      </w:pPr>
      <w:r>
        <w:rPr>
          <w:rFonts w:hint="eastAsia" w:ascii="宋体" w:hAnsi="宋体"/>
          <w:color w:val="36363D"/>
        </w:rPr>
        <w:t>手持式盆底康复设备主机重量≤250g，且配有蓝牙，可通过手机APP操作。蓝牙技术标准≥5.2，频率范围2400-2483.5MHz，频率容限≤20ppm，发射功率≤20dBm，杂散发射限值≤-30dBm。</w:t>
      </w:r>
    </w:p>
    <w:p w14:paraId="733676FF">
      <w:pPr>
        <w:numPr>
          <w:ilvl w:val="0"/>
          <w:numId w:val="2"/>
        </w:numPr>
        <w:spacing w:line="360" w:lineRule="auto"/>
        <w:ind w:firstLine="0"/>
        <w:jc w:val="left"/>
        <w:rPr>
          <w:rFonts w:ascii="宋体" w:hAnsi="宋体"/>
          <w:color w:val="36363D"/>
        </w:rPr>
      </w:pPr>
      <w:r>
        <w:rPr>
          <w:rFonts w:hint="eastAsia" w:ascii="宋体" w:hAnsi="宋体"/>
          <w:color w:val="36363D"/>
        </w:rPr>
        <w:t>手持式盆底康复设备支持盆底肌和腹肌双部位同时监测，且评估报告具有盆底肌和腹肌双肌电图，具有腹肌参与程度评估指标。</w:t>
      </w:r>
    </w:p>
    <w:p w14:paraId="623A6774">
      <w:pPr>
        <w:numPr>
          <w:ilvl w:val="0"/>
          <w:numId w:val="2"/>
        </w:numPr>
        <w:spacing w:line="360" w:lineRule="auto"/>
        <w:ind w:firstLine="0"/>
        <w:jc w:val="left"/>
        <w:rPr>
          <w:rFonts w:ascii="宋体" w:hAnsi="宋体"/>
          <w:b/>
          <w:bCs/>
          <w:color w:val="36363D"/>
        </w:rPr>
      </w:pPr>
      <w:r>
        <w:rPr>
          <w:rFonts w:hint="eastAsia" w:ascii="宋体" w:hAnsi="宋体"/>
          <w:color w:val="36363D"/>
        </w:rPr>
        <w:t>手持式盆底康复设备支持对接盆底信息综合管理系统，可远程调整APP上的治疗方案，包括盆底治疗方案和产后康复方案。</w:t>
      </w:r>
    </w:p>
    <w:p w14:paraId="1762B683">
      <w:pPr>
        <w:numPr>
          <w:ilvl w:val="0"/>
          <w:numId w:val="3"/>
        </w:numPr>
        <w:spacing w:line="360" w:lineRule="auto"/>
        <w:jc w:val="left"/>
        <w:rPr>
          <w:rFonts w:ascii="宋体" w:hAnsi="宋体"/>
          <w:color w:val="36363D"/>
        </w:rPr>
      </w:pPr>
      <w:r>
        <w:rPr>
          <w:rFonts w:hint="eastAsia" w:ascii="宋体" w:hAnsi="宋体"/>
          <w:color w:val="36363D"/>
        </w:rPr>
        <w:t>具有至少四种盆底肌肉肌电评估方案，包括咳嗽反射评估，支持包括英文、法文等多语言播放，且评估模板可手动隐藏。</w:t>
      </w:r>
    </w:p>
    <w:p w14:paraId="07AFAF63">
      <w:pPr>
        <w:numPr>
          <w:ilvl w:val="0"/>
          <w:numId w:val="3"/>
        </w:numPr>
        <w:spacing w:line="360" w:lineRule="auto"/>
        <w:jc w:val="left"/>
        <w:rPr>
          <w:rFonts w:ascii="宋体" w:hAnsi="宋体"/>
          <w:color w:val="36363D"/>
        </w:rPr>
      </w:pPr>
      <w:r>
        <w:rPr>
          <w:rFonts w:hint="eastAsia" w:ascii="宋体" w:hAnsi="宋体"/>
          <w:color w:val="36363D"/>
        </w:rPr>
        <w:t>盆底肌肉功能评估项目至少包括盆底肌肉静息肌张力和稳定性、快肌肌力、快肌收缩时间和放松时间、慢肌肌力和稳定性、慢肌耐力。</w:t>
      </w:r>
    </w:p>
    <w:p w14:paraId="3FB88D3F">
      <w:pPr>
        <w:numPr>
          <w:ilvl w:val="0"/>
          <w:numId w:val="3"/>
        </w:numPr>
        <w:spacing w:line="360" w:lineRule="auto"/>
        <w:jc w:val="left"/>
        <w:rPr>
          <w:rFonts w:ascii="宋体" w:hAnsi="宋体"/>
          <w:color w:val="36363D"/>
        </w:rPr>
      </w:pPr>
      <w:r>
        <w:rPr>
          <w:rFonts w:hint="eastAsia" w:ascii="宋体" w:hAnsi="宋体"/>
          <w:color w:val="36363D"/>
        </w:rPr>
        <w:t>肌电评估报告具有盆底肌和腹肌双肌电图，且显示反映腹肌异常收缩的指标，并可自定义报告简要说明和治疗建议。</w:t>
      </w:r>
    </w:p>
    <w:p w14:paraId="25B4DB32">
      <w:pPr>
        <w:numPr>
          <w:ilvl w:val="0"/>
          <w:numId w:val="3"/>
        </w:numPr>
        <w:spacing w:line="360" w:lineRule="auto"/>
        <w:jc w:val="left"/>
        <w:rPr>
          <w:rFonts w:ascii="宋体" w:hAnsi="宋体"/>
          <w:color w:val="36363D"/>
        </w:rPr>
      </w:pPr>
      <w:r>
        <w:rPr>
          <w:rFonts w:hint="eastAsia" w:ascii="宋体" w:hAnsi="宋体"/>
          <w:color w:val="36363D"/>
        </w:rPr>
        <w:t>具有咳嗽反射评估方案，可检测不同咳嗽状态下盆底肌肉的反应能力，评估时间≤60秒，并自动生成评估报告，评估指标包括起始收缩潜伏时间和最大值等。</w:t>
      </w:r>
    </w:p>
    <w:p w14:paraId="52EA769E">
      <w:pPr>
        <w:numPr>
          <w:ilvl w:val="0"/>
          <w:numId w:val="3"/>
        </w:numPr>
        <w:spacing w:line="360" w:lineRule="auto"/>
        <w:jc w:val="left"/>
        <w:rPr>
          <w:rFonts w:ascii="宋体" w:hAnsi="宋体"/>
          <w:color w:val="36363D"/>
        </w:rPr>
      </w:pPr>
      <w:r>
        <w:rPr>
          <w:rFonts w:hint="eastAsia" w:ascii="宋体" w:hAnsi="宋体"/>
          <w:color w:val="36363D"/>
        </w:rPr>
        <w:t>具有标准盆底肌区分训练模块，可通过刺激反馈和多媒体动画反馈监测盆底肌和协同肌的运动状态，帮助快速区分盆底肌和协同肌。</w:t>
      </w:r>
    </w:p>
    <w:p w14:paraId="7184A767">
      <w:pPr>
        <w:numPr>
          <w:ilvl w:val="0"/>
          <w:numId w:val="3"/>
        </w:numPr>
        <w:spacing w:line="360" w:lineRule="auto"/>
        <w:jc w:val="left"/>
        <w:rPr>
          <w:rFonts w:ascii="宋体" w:hAnsi="宋体"/>
          <w:color w:val="36363D"/>
        </w:rPr>
      </w:pPr>
      <w:r>
        <w:rPr>
          <w:rFonts w:hint="eastAsia" w:ascii="宋体" w:hAnsi="宋体"/>
          <w:color w:val="36363D"/>
        </w:rPr>
        <w:t>疗程方案在每次治疗开始前可自动快速评估当前盆底肌肉的功能状态，评估时间≤50秒, 无需选择筛查评估方案进行评估，然后根据评估结果自动调整治疗方案的参数并显示，包括电刺激参数、触发电刺激参数、刺激反馈训练参数、凯格尔训练参数和多媒体动画训练参数，允许进一步手动调整。</w:t>
      </w:r>
    </w:p>
    <w:p w14:paraId="1038D784">
      <w:pPr>
        <w:numPr>
          <w:ilvl w:val="0"/>
          <w:numId w:val="3"/>
        </w:numPr>
        <w:spacing w:line="360" w:lineRule="auto"/>
        <w:jc w:val="left"/>
        <w:rPr>
          <w:rFonts w:ascii="宋体" w:hAnsi="宋体"/>
          <w:color w:val="36363D"/>
        </w:rPr>
      </w:pPr>
      <w:r>
        <w:rPr>
          <w:rFonts w:hint="eastAsia" w:ascii="宋体" w:hAnsi="宋体"/>
          <w:color w:val="36363D"/>
        </w:rPr>
        <w:t>治疗方法至少包括肌电触发电刺激、扩张训练、刺激反馈训练、音乐放松训练、呼吸放松训练、多媒体游戏训练，并可自行导入音乐和多媒体动画。</w:t>
      </w:r>
    </w:p>
    <w:p w14:paraId="1B12879C">
      <w:pPr>
        <w:numPr>
          <w:ilvl w:val="0"/>
          <w:numId w:val="3"/>
        </w:numPr>
        <w:spacing w:line="360" w:lineRule="auto"/>
        <w:jc w:val="left"/>
        <w:rPr>
          <w:rFonts w:ascii="宋体" w:hAnsi="宋体"/>
          <w:color w:val="36363D"/>
        </w:rPr>
      </w:pPr>
      <w:r>
        <w:rPr>
          <w:rFonts w:hint="eastAsia" w:ascii="宋体" w:hAnsi="宋体"/>
          <w:color w:val="36363D"/>
        </w:rPr>
        <w:t>可以通过压力反馈的方式进行盆底肌肉被动扩张训练，且扩张训练方案大于5种，支持多媒体动画反馈和压力信号反馈，可手动调节充气量，并具有过压保护。</w:t>
      </w:r>
    </w:p>
    <w:p w14:paraId="29D431C4">
      <w:pPr>
        <w:numPr>
          <w:ilvl w:val="0"/>
          <w:numId w:val="3"/>
        </w:numPr>
        <w:spacing w:line="360" w:lineRule="auto"/>
        <w:jc w:val="left"/>
        <w:rPr>
          <w:rFonts w:ascii="宋体" w:hAnsi="宋体"/>
          <w:color w:val="36363D"/>
        </w:rPr>
      </w:pPr>
      <w:r>
        <w:rPr>
          <w:rFonts w:hint="eastAsia" w:ascii="宋体" w:hAnsi="宋体"/>
          <w:color w:val="36363D"/>
        </w:rPr>
        <w:t>电流强度调节方式至少包括旋钮调节、鼠标调节和按键调节三种，并支持远距离线控调节。</w:t>
      </w:r>
    </w:p>
    <w:p w14:paraId="1C2BDF9F">
      <w:pPr>
        <w:numPr>
          <w:ilvl w:val="0"/>
          <w:numId w:val="3"/>
        </w:numPr>
        <w:spacing w:line="360" w:lineRule="auto"/>
        <w:jc w:val="left"/>
        <w:rPr>
          <w:rFonts w:ascii="宋体" w:hAnsi="宋体"/>
          <w:color w:val="36363D"/>
        </w:rPr>
      </w:pPr>
      <w:r>
        <w:rPr>
          <w:rFonts w:hint="eastAsia" w:ascii="宋体" w:hAnsi="宋体"/>
          <w:color w:val="36363D"/>
        </w:rPr>
        <w:t>疗程方案内的每次治疗可根据患者当前肌肉状态自适应调整电刺激参数，包括刺激频率、刺激脉宽和刺激时间等，并允许在治疗过程中手动调整上述参数。</w:t>
      </w:r>
    </w:p>
    <w:p w14:paraId="19E79598">
      <w:pPr>
        <w:numPr>
          <w:ilvl w:val="0"/>
          <w:numId w:val="3"/>
        </w:numPr>
        <w:spacing w:line="360" w:lineRule="auto"/>
        <w:jc w:val="left"/>
        <w:rPr>
          <w:rFonts w:ascii="宋体" w:hAnsi="宋体"/>
          <w:color w:val="36363D"/>
        </w:rPr>
      </w:pPr>
      <w:r>
        <w:rPr>
          <w:rFonts w:hint="eastAsia" w:ascii="宋体" w:hAnsi="宋体"/>
          <w:color w:val="36363D"/>
        </w:rPr>
        <w:t>治疗过程中实时监测肌肉疲劳状态，监测指标至少包括平均功率频率，可根据疲劳状态自动调整训练难度，防止过度疲劳。</w:t>
      </w:r>
    </w:p>
    <w:p w14:paraId="2C28EEF4">
      <w:pPr>
        <w:numPr>
          <w:ilvl w:val="0"/>
          <w:numId w:val="3"/>
        </w:numPr>
        <w:spacing w:line="360" w:lineRule="auto"/>
        <w:jc w:val="left"/>
        <w:rPr>
          <w:rFonts w:ascii="宋体" w:hAnsi="宋体"/>
          <w:color w:val="36363D"/>
        </w:rPr>
      </w:pPr>
      <w:r>
        <w:rPr>
          <w:rFonts w:hint="eastAsia" w:ascii="宋体" w:hAnsi="宋体"/>
          <w:color w:val="36363D"/>
        </w:rPr>
        <w:t>内置叫号功能、预约功能和邮件发送功能，可进行诊疗叫号、数据邮件发送以及诊疗预约等，且可手动设置软件开机自动启动功能。</w:t>
      </w:r>
    </w:p>
    <w:p w14:paraId="749557D0">
      <w:pPr>
        <w:numPr>
          <w:ilvl w:val="0"/>
          <w:numId w:val="3"/>
        </w:numPr>
        <w:spacing w:line="360" w:lineRule="auto"/>
        <w:jc w:val="left"/>
        <w:rPr>
          <w:rFonts w:ascii="宋体" w:hAnsi="宋体"/>
          <w:color w:val="36363D"/>
        </w:rPr>
      </w:pPr>
      <w:r>
        <w:rPr>
          <w:rFonts w:hint="eastAsia" w:ascii="宋体" w:hAnsi="宋体"/>
          <w:color w:val="36363D"/>
        </w:rPr>
        <w:t>设备需登录使用，可对使用者进行管理，包括新增、删除等操作，同时，也可对使用者的操作权限进行设置，包括病历修改、删除等操作。</w:t>
      </w:r>
    </w:p>
    <w:p w14:paraId="12628C9D">
      <w:pPr>
        <w:numPr>
          <w:ilvl w:val="0"/>
          <w:numId w:val="3"/>
        </w:numPr>
        <w:spacing w:line="360" w:lineRule="auto"/>
        <w:jc w:val="left"/>
        <w:rPr>
          <w:rFonts w:ascii="宋体" w:hAnsi="宋体"/>
        </w:rPr>
      </w:pPr>
      <w:r>
        <w:rPr>
          <w:rFonts w:hint="eastAsia" w:ascii="宋体" w:hAnsi="宋体"/>
          <w:color w:val="36363D"/>
        </w:rPr>
        <w:t>数据管理模块至少包括工作量统计、数据回顾和趋势分析等，可实现多个条件联合检索，并支持多种图表形式显示，包括线图、</w:t>
      </w:r>
      <w:r>
        <w:rPr>
          <w:rFonts w:hint="eastAsia" w:ascii="宋体" w:hAnsi="宋体"/>
        </w:rPr>
        <w:t>直方图和饼图。</w:t>
      </w:r>
    </w:p>
    <w:p w14:paraId="0A835F3C">
      <w:pPr>
        <w:tabs>
          <w:tab w:val="left" w:pos="420"/>
        </w:tabs>
        <w:spacing w:line="360" w:lineRule="auto"/>
        <w:jc w:val="left"/>
        <w:rPr>
          <w:rFonts w:ascii="宋体" w:hAnsi="宋体"/>
        </w:rPr>
      </w:pPr>
    </w:p>
    <w:p w14:paraId="749F8C27">
      <w:pPr>
        <w:tabs>
          <w:tab w:val="left" w:pos="420"/>
        </w:tabs>
        <w:spacing w:line="360" w:lineRule="auto"/>
        <w:jc w:val="left"/>
        <w:rPr>
          <w:rFonts w:ascii="宋体" w:hAnsi="宋体"/>
        </w:rPr>
      </w:pPr>
    </w:p>
    <w:p w14:paraId="29D9F227">
      <w:pPr>
        <w:tabs>
          <w:tab w:val="left" w:pos="420"/>
        </w:tabs>
        <w:spacing w:line="360" w:lineRule="auto"/>
        <w:jc w:val="left"/>
        <w:rPr>
          <w:rFonts w:ascii="宋体" w:hAnsi="宋体"/>
        </w:rPr>
      </w:pPr>
    </w:p>
    <w:p w14:paraId="0C7948F6">
      <w:pPr>
        <w:tabs>
          <w:tab w:val="left" w:pos="420"/>
        </w:tabs>
        <w:spacing w:line="360" w:lineRule="auto"/>
        <w:jc w:val="left"/>
        <w:rPr>
          <w:rFonts w:ascii="宋体" w:hAnsi="宋体"/>
        </w:rPr>
      </w:pPr>
    </w:p>
    <w:p w14:paraId="7EFCF4F2">
      <w:pPr>
        <w:tabs>
          <w:tab w:val="left" w:pos="420"/>
        </w:tabs>
        <w:spacing w:line="360" w:lineRule="auto"/>
        <w:jc w:val="left"/>
        <w:rPr>
          <w:rFonts w:ascii="宋体" w:hAnsi="宋体"/>
        </w:rPr>
      </w:pPr>
      <w:r>
        <w:rPr>
          <w:rFonts w:hint="eastAsia" w:ascii="宋体" w:hAnsi="宋体"/>
          <w:lang w:val="en-US" w:eastAsia="zh-CN"/>
        </w:rPr>
        <w:t>二、</w:t>
      </w:r>
      <w:r>
        <w:rPr>
          <w:rFonts w:hint="eastAsia" w:ascii="宋体" w:hAnsi="宋体"/>
        </w:rPr>
        <w:t>配置清单：</w:t>
      </w:r>
    </w:p>
    <w:tbl>
      <w:tblPr>
        <w:tblStyle w:val="6"/>
        <w:tblW w:w="6180" w:type="dxa"/>
        <w:tblInd w:w="118" w:type="dxa"/>
        <w:tblLayout w:type="autofit"/>
        <w:tblCellMar>
          <w:top w:w="0" w:type="dxa"/>
          <w:left w:w="108" w:type="dxa"/>
          <w:bottom w:w="0" w:type="dxa"/>
          <w:right w:w="108" w:type="dxa"/>
        </w:tblCellMar>
      </w:tblPr>
      <w:tblGrid>
        <w:gridCol w:w="1080"/>
        <w:gridCol w:w="2940"/>
        <w:gridCol w:w="1080"/>
        <w:gridCol w:w="1080"/>
      </w:tblGrid>
      <w:tr w14:paraId="18B57979">
        <w:tblPrEx>
          <w:tblCellMar>
            <w:top w:w="0" w:type="dxa"/>
            <w:left w:w="108" w:type="dxa"/>
            <w:bottom w:w="0" w:type="dxa"/>
            <w:right w:w="108" w:type="dxa"/>
          </w:tblCellMar>
        </w:tblPrEx>
        <w:trPr>
          <w:trHeight w:val="270" w:hRule="atLeast"/>
        </w:trPr>
        <w:tc>
          <w:tcPr>
            <w:tcW w:w="1080" w:type="dxa"/>
            <w:tcBorders>
              <w:top w:val="single" w:color="auto" w:sz="8" w:space="0"/>
              <w:left w:val="single" w:color="auto" w:sz="8" w:space="0"/>
              <w:bottom w:val="nil"/>
              <w:right w:val="single" w:color="auto" w:sz="8" w:space="0"/>
            </w:tcBorders>
            <w:shd w:val="clear" w:color="auto" w:fill="auto"/>
            <w:noWrap/>
            <w:vAlign w:val="center"/>
          </w:tcPr>
          <w:p w14:paraId="669EA2ED">
            <w:pPr>
              <w:widowControl/>
              <w:jc w:val="center"/>
              <w:rPr>
                <w:rFonts w:ascii="宋体" w:hAnsi="宋体"/>
                <w:b/>
                <w:bCs/>
                <w:kern w:val="0"/>
                <w:sz w:val="20"/>
                <w:szCs w:val="20"/>
              </w:rPr>
            </w:pPr>
            <w:r>
              <w:rPr>
                <w:rFonts w:hint="eastAsia" w:ascii="宋体" w:hAnsi="宋体"/>
                <w:b/>
                <w:bCs/>
                <w:kern w:val="0"/>
                <w:sz w:val="20"/>
                <w:szCs w:val="20"/>
              </w:rPr>
              <w:t>序号</w:t>
            </w:r>
          </w:p>
        </w:tc>
        <w:tc>
          <w:tcPr>
            <w:tcW w:w="2940" w:type="dxa"/>
            <w:tcBorders>
              <w:top w:val="single" w:color="auto" w:sz="8" w:space="0"/>
              <w:left w:val="nil"/>
              <w:bottom w:val="nil"/>
              <w:right w:val="single" w:color="auto" w:sz="8" w:space="0"/>
            </w:tcBorders>
            <w:shd w:val="clear" w:color="auto" w:fill="auto"/>
            <w:noWrap/>
            <w:vAlign w:val="center"/>
          </w:tcPr>
          <w:p w14:paraId="374B9714">
            <w:pPr>
              <w:widowControl/>
              <w:jc w:val="center"/>
              <w:rPr>
                <w:rFonts w:hint="eastAsia" w:ascii="宋体" w:hAnsi="宋体"/>
                <w:b/>
                <w:bCs/>
                <w:kern w:val="0"/>
                <w:sz w:val="20"/>
                <w:szCs w:val="20"/>
              </w:rPr>
            </w:pPr>
            <w:r>
              <w:rPr>
                <w:rFonts w:hint="eastAsia" w:ascii="宋体" w:hAnsi="宋体"/>
                <w:b/>
                <w:bCs/>
                <w:kern w:val="0"/>
                <w:sz w:val="20"/>
                <w:szCs w:val="20"/>
              </w:rPr>
              <w:t>配        置</w:t>
            </w:r>
          </w:p>
        </w:tc>
        <w:tc>
          <w:tcPr>
            <w:tcW w:w="1080" w:type="dxa"/>
            <w:tcBorders>
              <w:top w:val="single" w:color="auto" w:sz="8" w:space="0"/>
              <w:left w:val="nil"/>
              <w:bottom w:val="nil"/>
              <w:right w:val="single" w:color="auto" w:sz="8" w:space="0"/>
            </w:tcBorders>
            <w:shd w:val="clear" w:color="auto" w:fill="auto"/>
            <w:noWrap/>
            <w:vAlign w:val="center"/>
          </w:tcPr>
          <w:p w14:paraId="38FFCBC4">
            <w:pPr>
              <w:widowControl/>
              <w:jc w:val="center"/>
              <w:rPr>
                <w:rFonts w:hint="eastAsia" w:ascii="宋体" w:hAnsi="宋体"/>
                <w:b/>
                <w:bCs/>
                <w:kern w:val="0"/>
                <w:sz w:val="20"/>
                <w:szCs w:val="20"/>
              </w:rPr>
            </w:pPr>
            <w:r>
              <w:rPr>
                <w:rFonts w:hint="eastAsia" w:ascii="宋体" w:hAnsi="宋体"/>
                <w:b/>
                <w:bCs/>
                <w:kern w:val="0"/>
                <w:sz w:val="20"/>
                <w:szCs w:val="20"/>
              </w:rPr>
              <w:t>单位</w:t>
            </w:r>
          </w:p>
        </w:tc>
        <w:tc>
          <w:tcPr>
            <w:tcW w:w="1080" w:type="dxa"/>
            <w:tcBorders>
              <w:top w:val="single" w:color="auto" w:sz="8" w:space="0"/>
              <w:left w:val="nil"/>
              <w:bottom w:val="nil"/>
              <w:right w:val="single" w:color="auto" w:sz="8" w:space="0"/>
            </w:tcBorders>
            <w:shd w:val="clear" w:color="auto" w:fill="auto"/>
            <w:noWrap/>
            <w:vAlign w:val="center"/>
          </w:tcPr>
          <w:p w14:paraId="1FB4E9D1">
            <w:pPr>
              <w:widowControl/>
              <w:jc w:val="center"/>
              <w:rPr>
                <w:rFonts w:hint="eastAsia" w:ascii="宋体" w:hAnsi="宋体"/>
                <w:b/>
                <w:bCs/>
                <w:kern w:val="0"/>
                <w:sz w:val="20"/>
                <w:szCs w:val="20"/>
              </w:rPr>
            </w:pPr>
            <w:r>
              <w:rPr>
                <w:rFonts w:hint="eastAsia" w:ascii="宋体" w:hAnsi="宋体"/>
                <w:b/>
                <w:bCs/>
                <w:kern w:val="0"/>
                <w:sz w:val="20"/>
                <w:szCs w:val="20"/>
              </w:rPr>
              <w:t>数量</w:t>
            </w:r>
          </w:p>
        </w:tc>
      </w:tr>
      <w:tr w14:paraId="21FCE861">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AF421">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1</w:t>
            </w:r>
          </w:p>
        </w:tc>
        <w:tc>
          <w:tcPr>
            <w:tcW w:w="2940" w:type="dxa"/>
            <w:tcBorders>
              <w:top w:val="single" w:color="auto" w:sz="4" w:space="0"/>
              <w:left w:val="nil"/>
              <w:bottom w:val="single" w:color="auto" w:sz="4" w:space="0"/>
              <w:right w:val="single" w:color="auto" w:sz="4" w:space="0"/>
            </w:tcBorders>
            <w:shd w:val="clear" w:color="auto" w:fill="auto"/>
            <w:noWrap/>
            <w:vAlign w:val="center"/>
          </w:tcPr>
          <w:p w14:paraId="1DDF2208">
            <w:pPr>
              <w:widowControl/>
              <w:jc w:val="center"/>
              <w:rPr>
                <w:rFonts w:hint="eastAsia" w:ascii="宋体" w:hAnsi="宋体"/>
                <w:color w:val="36363D"/>
                <w:kern w:val="0"/>
                <w:sz w:val="20"/>
                <w:szCs w:val="20"/>
              </w:rPr>
            </w:pPr>
            <w:r>
              <w:rPr>
                <w:rFonts w:hint="eastAsia" w:ascii="宋体" w:hAnsi="宋体"/>
                <w:color w:val="36363D"/>
                <w:kern w:val="0"/>
                <w:sz w:val="20"/>
                <w:szCs w:val="20"/>
              </w:rPr>
              <w:t>2通道肌电和刺激反馈主机</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1B5A6B04">
            <w:pPr>
              <w:widowControl/>
              <w:jc w:val="center"/>
              <w:rPr>
                <w:rFonts w:hint="eastAsia" w:ascii="宋体" w:hAnsi="宋体"/>
                <w:color w:val="36363D"/>
                <w:kern w:val="0"/>
                <w:sz w:val="20"/>
                <w:szCs w:val="20"/>
              </w:rPr>
            </w:pPr>
            <w:r>
              <w:rPr>
                <w:rFonts w:hint="eastAsia" w:ascii="宋体" w:hAnsi="宋体"/>
                <w:color w:val="36363D"/>
                <w:kern w:val="0"/>
                <w:sz w:val="20"/>
                <w:szCs w:val="20"/>
              </w:rPr>
              <w:t>台</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58D8A691">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18E6652C">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EF9DA3F">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2</w:t>
            </w:r>
          </w:p>
        </w:tc>
        <w:tc>
          <w:tcPr>
            <w:tcW w:w="2940" w:type="dxa"/>
            <w:tcBorders>
              <w:top w:val="nil"/>
              <w:left w:val="nil"/>
              <w:bottom w:val="single" w:color="auto" w:sz="4" w:space="0"/>
              <w:right w:val="single" w:color="auto" w:sz="4" w:space="0"/>
            </w:tcBorders>
            <w:shd w:val="clear" w:color="auto" w:fill="auto"/>
            <w:noWrap/>
            <w:vAlign w:val="center"/>
          </w:tcPr>
          <w:p w14:paraId="10723BD9">
            <w:pPr>
              <w:widowControl/>
              <w:jc w:val="center"/>
              <w:rPr>
                <w:rFonts w:hint="eastAsia" w:ascii="宋体" w:hAnsi="宋体"/>
                <w:color w:val="36363D"/>
                <w:kern w:val="0"/>
                <w:sz w:val="20"/>
                <w:szCs w:val="20"/>
              </w:rPr>
            </w:pPr>
            <w:r>
              <w:rPr>
                <w:rFonts w:hint="eastAsia" w:ascii="宋体" w:hAnsi="宋体"/>
                <w:color w:val="36363D"/>
                <w:kern w:val="0"/>
                <w:sz w:val="20"/>
                <w:szCs w:val="20"/>
              </w:rPr>
              <w:t>生物刺激反馈仪工作站台车</w:t>
            </w:r>
          </w:p>
        </w:tc>
        <w:tc>
          <w:tcPr>
            <w:tcW w:w="1080" w:type="dxa"/>
            <w:tcBorders>
              <w:top w:val="nil"/>
              <w:left w:val="nil"/>
              <w:bottom w:val="single" w:color="auto" w:sz="4" w:space="0"/>
              <w:right w:val="single" w:color="auto" w:sz="4" w:space="0"/>
            </w:tcBorders>
            <w:shd w:val="clear" w:color="auto" w:fill="auto"/>
            <w:noWrap/>
            <w:vAlign w:val="center"/>
          </w:tcPr>
          <w:p w14:paraId="418CE128">
            <w:pPr>
              <w:widowControl/>
              <w:jc w:val="center"/>
              <w:rPr>
                <w:rFonts w:hint="eastAsia" w:ascii="宋体" w:hAnsi="宋体"/>
                <w:color w:val="36363D"/>
                <w:kern w:val="0"/>
                <w:sz w:val="20"/>
                <w:szCs w:val="20"/>
              </w:rPr>
            </w:pPr>
            <w:r>
              <w:rPr>
                <w:rFonts w:hint="eastAsia" w:ascii="宋体" w:hAnsi="宋体"/>
                <w:color w:val="36363D"/>
                <w:kern w:val="0"/>
                <w:sz w:val="20"/>
                <w:szCs w:val="20"/>
              </w:rPr>
              <w:t>台</w:t>
            </w:r>
          </w:p>
        </w:tc>
        <w:tc>
          <w:tcPr>
            <w:tcW w:w="1080" w:type="dxa"/>
            <w:tcBorders>
              <w:top w:val="nil"/>
              <w:left w:val="nil"/>
              <w:bottom w:val="single" w:color="auto" w:sz="4" w:space="0"/>
              <w:right w:val="single" w:color="auto" w:sz="4" w:space="0"/>
            </w:tcBorders>
            <w:shd w:val="clear" w:color="auto" w:fill="auto"/>
            <w:noWrap/>
            <w:vAlign w:val="center"/>
          </w:tcPr>
          <w:p w14:paraId="061D7808">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307B9028">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auto" w:fill="auto"/>
            <w:noWrap/>
            <w:vAlign w:val="center"/>
          </w:tcPr>
          <w:p w14:paraId="1042CEAC">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3</w:t>
            </w:r>
          </w:p>
        </w:tc>
        <w:tc>
          <w:tcPr>
            <w:tcW w:w="2940" w:type="dxa"/>
            <w:tcBorders>
              <w:top w:val="nil"/>
              <w:left w:val="nil"/>
              <w:bottom w:val="nil"/>
              <w:right w:val="single" w:color="auto" w:sz="4" w:space="0"/>
            </w:tcBorders>
            <w:shd w:val="clear" w:color="auto" w:fill="auto"/>
            <w:vAlign w:val="center"/>
          </w:tcPr>
          <w:p w14:paraId="1002F11B">
            <w:pPr>
              <w:widowControl/>
              <w:jc w:val="center"/>
              <w:rPr>
                <w:rFonts w:hint="eastAsia" w:ascii="宋体" w:hAnsi="宋体"/>
                <w:color w:val="36363D"/>
                <w:kern w:val="0"/>
                <w:sz w:val="20"/>
                <w:szCs w:val="20"/>
              </w:rPr>
            </w:pPr>
            <w:r>
              <w:rPr>
                <w:rFonts w:hint="eastAsia" w:ascii="宋体" w:hAnsi="宋体"/>
                <w:color w:val="36363D"/>
                <w:kern w:val="0"/>
                <w:sz w:val="20"/>
                <w:szCs w:val="20"/>
              </w:rPr>
              <w:t>生物刺激反馈仪软件</w:t>
            </w:r>
          </w:p>
        </w:tc>
        <w:tc>
          <w:tcPr>
            <w:tcW w:w="1080" w:type="dxa"/>
            <w:tcBorders>
              <w:top w:val="nil"/>
              <w:left w:val="nil"/>
              <w:bottom w:val="nil"/>
              <w:right w:val="single" w:color="auto" w:sz="4" w:space="0"/>
            </w:tcBorders>
            <w:shd w:val="clear" w:color="auto" w:fill="auto"/>
            <w:noWrap/>
            <w:vAlign w:val="center"/>
          </w:tcPr>
          <w:p w14:paraId="59D98C2C">
            <w:pPr>
              <w:widowControl/>
              <w:jc w:val="center"/>
              <w:rPr>
                <w:rFonts w:hint="eastAsia" w:ascii="宋体" w:hAnsi="宋体"/>
                <w:color w:val="36363D"/>
                <w:kern w:val="0"/>
                <w:sz w:val="20"/>
                <w:szCs w:val="20"/>
              </w:rPr>
            </w:pPr>
            <w:r>
              <w:rPr>
                <w:rFonts w:hint="eastAsia" w:ascii="宋体" w:hAnsi="宋体"/>
                <w:color w:val="36363D"/>
                <w:kern w:val="0"/>
                <w:sz w:val="20"/>
                <w:szCs w:val="20"/>
              </w:rPr>
              <w:t>套</w:t>
            </w:r>
          </w:p>
        </w:tc>
        <w:tc>
          <w:tcPr>
            <w:tcW w:w="1080" w:type="dxa"/>
            <w:tcBorders>
              <w:top w:val="nil"/>
              <w:left w:val="nil"/>
              <w:bottom w:val="nil"/>
              <w:right w:val="single" w:color="auto" w:sz="4" w:space="0"/>
            </w:tcBorders>
            <w:shd w:val="clear" w:color="auto" w:fill="auto"/>
            <w:noWrap/>
            <w:vAlign w:val="center"/>
          </w:tcPr>
          <w:p w14:paraId="35F9139A">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0FB3338A">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D5452">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4</w:t>
            </w:r>
          </w:p>
        </w:tc>
        <w:tc>
          <w:tcPr>
            <w:tcW w:w="2940" w:type="dxa"/>
            <w:tcBorders>
              <w:top w:val="single" w:color="auto" w:sz="4" w:space="0"/>
              <w:left w:val="nil"/>
              <w:bottom w:val="single" w:color="auto" w:sz="4" w:space="0"/>
              <w:right w:val="single" w:color="auto" w:sz="4" w:space="0"/>
            </w:tcBorders>
            <w:shd w:val="clear" w:color="auto" w:fill="auto"/>
            <w:noWrap/>
            <w:vAlign w:val="center"/>
          </w:tcPr>
          <w:p w14:paraId="750370C6">
            <w:pPr>
              <w:widowControl/>
              <w:jc w:val="center"/>
              <w:rPr>
                <w:rFonts w:hint="eastAsia" w:ascii="宋体" w:hAnsi="宋体"/>
                <w:color w:val="36363D"/>
                <w:kern w:val="0"/>
                <w:sz w:val="20"/>
                <w:szCs w:val="20"/>
              </w:rPr>
            </w:pPr>
            <w:r>
              <w:rPr>
                <w:rFonts w:hint="eastAsia" w:ascii="宋体" w:hAnsi="宋体"/>
                <w:color w:val="36363D"/>
                <w:kern w:val="0"/>
                <w:sz w:val="20"/>
                <w:szCs w:val="20"/>
              </w:rPr>
              <w:t>国标电源线</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3C4F815F">
            <w:pPr>
              <w:widowControl/>
              <w:jc w:val="center"/>
              <w:rPr>
                <w:rFonts w:hint="eastAsia" w:ascii="宋体" w:hAnsi="宋体"/>
                <w:color w:val="36363D"/>
                <w:kern w:val="0"/>
                <w:sz w:val="20"/>
                <w:szCs w:val="20"/>
              </w:rPr>
            </w:pPr>
            <w:r>
              <w:rPr>
                <w:rFonts w:hint="eastAsia" w:ascii="宋体" w:hAnsi="宋体"/>
                <w:color w:val="36363D"/>
                <w:kern w:val="0"/>
                <w:sz w:val="20"/>
                <w:szCs w:val="20"/>
              </w:rPr>
              <w:t>根</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3042C77F">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08F67BBD">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18E29D2">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5</w:t>
            </w:r>
          </w:p>
        </w:tc>
        <w:tc>
          <w:tcPr>
            <w:tcW w:w="2940" w:type="dxa"/>
            <w:tcBorders>
              <w:top w:val="nil"/>
              <w:left w:val="nil"/>
              <w:bottom w:val="single" w:color="auto" w:sz="4" w:space="0"/>
              <w:right w:val="single" w:color="auto" w:sz="4" w:space="0"/>
            </w:tcBorders>
            <w:shd w:val="clear" w:color="auto" w:fill="auto"/>
            <w:noWrap/>
            <w:vAlign w:val="center"/>
          </w:tcPr>
          <w:p w14:paraId="5DD6E0B6">
            <w:pPr>
              <w:widowControl/>
              <w:jc w:val="center"/>
              <w:rPr>
                <w:rFonts w:hint="eastAsia" w:ascii="宋体" w:hAnsi="宋体"/>
                <w:color w:val="36363D"/>
                <w:kern w:val="0"/>
                <w:sz w:val="20"/>
                <w:szCs w:val="20"/>
              </w:rPr>
            </w:pPr>
            <w:r>
              <w:rPr>
                <w:rFonts w:hint="eastAsia" w:ascii="宋体" w:hAnsi="宋体"/>
                <w:color w:val="36363D"/>
                <w:kern w:val="0"/>
                <w:sz w:val="20"/>
                <w:szCs w:val="20"/>
              </w:rPr>
              <w:t>电极转接线（短）</w:t>
            </w:r>
          </w:p>
        </w:tc>
        <w:tc>
          <w:tcPr>
            <w:tcW w:w="1080" w:type="dxa"/>
            <w:tcBorders>
              <w:top w:val="nil"/>
              <w:left w:val="nil"/>
              <w:bottom w:val="single" w:color="auto" w:sz="4" w:space="0"/>
              <w:right w:val="single" w:color="auto" w:sz="4" w:space="0"/>
            </w:tcBorders>
            <w:shd w:val="clear" w:color="auto" w:fill="auto"/>
            <w:noWrap/>
            <w:vAlign w:val="center"/>
          </w:tcPr>
          <w:p w14:paraId="285685DF">
            <w:pPr>
              <w:widowControl/>
              <w:jc w:val="center"/>
              <w:rPr>
                <w:rFonts w:hint="eastAsia" w:ascii="宋体" w:hAnsi="宋体"/>
                <w:color w:val="36363D"/>
                <w:kern w:val="0"/>
                <w:sz w:val="20"/>
                <w:szCs w:val="20"/>
              </w:rPr>
            </w:pPr>
            <w:r>
              <w:rPr>
                <w:rFonts w:hint="eastAsia" w:ascii="宋体" w:hAnsi="宋体"/>
                <w:color w:val="36363D"/>
                <w:kern w:val="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14:paraId="7B6EF8F0">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2BA676E1">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4C1345D">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6</w:t>
            </w:r>
          </w:p>
        </w:tc>
        <w:tc>
          <w:tcPr>
            <w:tcW w:w="2940" w:type="dxa"/>
            <w:tcBorders>
              <w:top w:val="nil"/>
              <w:left w:val="nil"/>
              <w:bottom w:val="single" w:color="auto" w:sz="4" w:space="0"/>
              <w:right w:val="single" w:color="auto" w:sz="4" w:space="0"/>
            </w:tcBorders>
            <w:shd w:val="clear" w:color="auto" w:fill="auto"/>
            <w:noWrap/>
            <w:vAlign w:val="center"/>
          </w:tcPr>
          <w:p w14:paraId="3BBB21E1">
            <w:pPr>
              <w:widowControl/>
              <w:jc w:val="center"/>
              <w:rPr>
                <w:rFonts w:hint="eastAsia" w:ascii="宋体" w:hAnsi="宋体"/>
                <w:color w:val="36363D"/>
                <w:kern w:val="0"/>
                <w:sz w:val="20"/>
                <w:szCs w:val="20"/>
              </w:rPr>
            </w:pPr>
            <w:r>
              <w:rPr>
                <w:rFonts w:hint="eastAsia" w:ascii="宋体" w:hAnsi="宋体"/>
                <w:color w:val="36363D"/>
                <w:kern w:val="0"/>
                <w:sz w:val="20"/>
                <w:szCs w:val="20"/>
              </w:rPr>
              <w:t>电极转接线（长）</w:t>
            </w:r>
          </w:p>
        </w:tc>
        <w:tc>
          <w:tcPr>
            <w:tcW w:w="1080" w:type="dxa"/>
            <w:tcBorders>
              <w:top w:val="nil"/>
              <w:left w:val="nil"/>
              <w:bottom w:val="single" w:color="auto" w:sz="4" w:space="0"/>
              <w:right w:val="single" w:color="auto" w:sz="4" w:space="0"/>
            </w:tcBorders>
            <w:shd w:val="clear" w:color="auto" w:fill="auto"/>
            <w:noWrap/>
            <w:vAlign w:val="center"/>
          </w:tcPr>
          <w:p w14:paraId="143FC271">
            <w:pPr>
              <w:widowControl/>
              <w:jc w:val="center"/>
              <w:rPr>
                <w:rFonts w:hint="eastAsia" w:ascii="宋体" w:hAnsi="宋体"/>
                <w:color w:val="36363D"/>
                <w:kern w:val="0"/>
                <w:sz w:val="20"/>
                <w:szCs w:val="20"/>
              </w:rPr>
            </w:pPr>
            <w:r>
              <w:rPr>
                <w:rFonts w:hint="eastAsia" w:ascii="宋体" w:hAnsi="宋体"/>
                <w:color w:val="36363D"/>
                <w:kern w:val="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14:paraId="322A2287">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03B5067E">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8031AA6">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7</w:t>
            </w:r>
          </w:p>
        </w:tc>
        <w:tc>
          <w:tcPr>
            <w:tcW w:w="2940" w:type="dxa"/>
            <w:tcBorders>
              <w:top w:val="nil"/>
              <w:left w:val="nil"/>
              <w:bottom w:val="single" w:color="auto" w:sz="4" w:space="0"/>
              <w:right w:val="single" w:color="auto" w:sz="4" w:space="0"/>
            </w:tcBorders>
            <w:shd w:val="clear" w:color="auto" w:fill="auto"/>
            <w:noWrap/>
            <w:vAlign w:val="center"/>
          </w:tcPr>
          <w:p w14:paraId="4E499513">
            <w:pPr>
              <w:widowControl/>
              <w:jc w:val="center"/>
              <w:rPr>
                <w:rFonts w:hint="eastAsia" w:ascii="宋体" w:hAnsi="宋体"/>
                <w:color w:val="36363D"/>
                <w:kern w:val="0"/>
                <w:sz w:val="20"/>
                <w:szCs w:val="20"/>
              </w:rPr>
            </w:pPr>
            <w:r>
              <w:rPr>
                <w:rFonts w:hint="eastAsia" w:ascii="宋体" w:hAnsi="宋体"/>
                <w:color w:val="36363D"/>
                <w:kern w:val="0"/>
                <w:sz w:val="20"/>
                <w:szCs w:val="20"/>
              </w:rPr>
              <w:t>盆底腔内电极（一次性使用）</w:t>
            </w:r>
          </w:p>
        </w:tc>
        <w:tc>
          <w:tcPr>
            <w:tcW w:w="1080" w:type="dxa"/>
            <w:tcBorders>
              <w:top w:val="nil"/>
              <w:left w:val="nil"/>
              <w:bottom w:val="single" w:color="auto" w:sz="4" w:space="0"/>
              <w:right w:val="single" w:color="auto" w:sz="4" w:space="0"/>
            </w:tcBorders>
            <w:shd w:val="clear" w:color="auto" w:fill="auto"/>
            <w:noWrap/>
            <w:vAlign w:val="center"/>
          </w:tcPr>
          <w:p w14:paraId="05E96336">
            <w:pPr>
              <w:widowControl/>
              <w:jc w:val="center"/>
              <w:rPr>
                <w:rFonts w:hint="eastAsia" w:ascii="宋体" w:hAnsi="宋体"/>
                <w:color w:val="36363D"/>
                <w:kern w:val="0"/>
                <w:sz w:val="20"/>
                <w:szCs w:val="20"/>
              </w:rPr>
            </w:pPr>
            <w:r>
              <w:rPr>
                <w:rFonts w:hint="eastAsia" w:ascii="宋体" w:hAnsi="宋体"/>
                <w:color w:val="36363D"/>
                <w:kern w:val="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14:paraId="7F859839">
            <w:pPr>
              <w:widowControl/>
              <w:jc w:val="center"/>
              <w:rPr>
                <w:rFonts w:hint="eastAsia" w:ascii="宋体" w:hAnsi="宋体"/>
                <w:color w:val="36363D"/>
                <w:kern w:val="0"/>
                <w:sz w:val="20"/>
                <w:szCs w:val="20"/>
              </w:rPr>
            </w:pPr>
            <w:r>
              <w:rPr>
                <w:rFonts w:hint="eastAsia" w:ascii="宋体" w:hAnsi="宋体"/>
                <w:color w:val="36363D"/>
                <w:kern w:val="0"/>
                <w:sz w:val="20"/>
                <w:szCs w:val="20"/>
              </w:rPr>
              <w:t>2</w:t>
            </w:r>
          </w:p>
        </w:tc>
      </w:tr>
      <w:tr w14:paraId="435B4231">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1032551">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8</w:t>
            </w:r>
          </w:p>
        </w:tc>
        <w:tc>
          <w:tcPr>
            <w:tcW w:w="2940" w:type="dxa"/>
            <w:tcBorders>
              <w:top w:val="nil"/>
              <w:left w:val="nil"/>
              <w:bottom w:val="single" w:color="auto" w:sz="4" w:space="0"/>
              <w:right w:val="single" w:color="auto" w:sz="4" w:space="0"/>
            </w:tcBorders>
            <w:shd w:val="clear" w:color="auto" w:fill="auto"/>
            <w:noWrap/>
            <w:vAlign w:val="center"/>
          </w:tcPr>
          <w:p w14:paraId="4DCA1D37">
            <w:pPr>
              <w:widowControl/>
              <w:jc w:val="center"/>
              <w:rPr>
                <w:rFonts w:hint="eastAsia" w:ascii="宋体" w:hAnsi="宋体"/>
                <w:color w:val="36363D"/>
                <w:kern w:val="0"/>
                <w:sz w:val="20"/>
                <w:szCs w:val="20"/>
              </w:rPr>
            </w:pPr>
            <w:r>
              <w:rPr>
                <w:rFonts w:hint="eastAsia" w:ascii="宋体" w:hAnsi="宋体"/>
                <w:color w:val="36363D"/>
                <w:kern w:val="0"/>
                <w:sz w:val="20"/>
                <w:szCs w:val="20"/>
              </w:rPr>
              <w:t>盆底腔内电极（可重复使用）</w:t>
            </w:r>
          </w:p>
        </w:tc>
        <w:tc>
          <w:tcPr>
            <w:tcW w:w="1080" w:type="dxa"/>
            <w:tcBorders>
              <w:top w:val="nil"/>
              <w:left w:val="nil"/>
              <w:bottom w:val="single" w:color="auto" w:sz="4" w:space="0"/>
              <w:right w:val="single" w:color="auto" w:sz="4" w:space="0"/>
            </w:tcBorders>
            <w:shd w:val="clear" w:color="auto" w:fill="auto"/>
            <w:noWrap/>
            <w:vAlign w:val="center"/>
          </w:tcPr>
          <w:p w14:paraId="161146DC">
            <w:pPr>
              <w:widowControl/>
              <w:jc w:val="center"/>
              <w:rPr>
                <w:rFonts w:hint="eastAsia" w:ascii="宋体" w:hAnsi="宋体"/>
                <w:color w:val="36363D"/>
                <w:kern w:val="0"/>
                <w:sz w:val="20"/>
                <w:szCs w:val="20"/>
              </w:rPr>
            </w:pPr>
            <w:r>
              <w:rPr>
                <w:rFonts w:hint="eastAsia" w:ascii="宋体" w:hAnsi="宋体"/>
                <w:color w:val="36363D"/>
                <w:kern w:val="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14:paraId="732B1C16">
            <w:pPr>
              <w:widowControl/>
              <w:jc w:val="center"/>
              <w:rPr>
                <w:rFonts w:hint="eastAsia" w:ascii="宋体" w:hAnsi="宋体"/>
                <w:color w:val="36363D"/>
                <w:kern w:val="0"/>
                <w:sz w:val="20"/>
                <w:szCs w:val="20"/>
              </w:rPr>
            </w:pPr>
            <w:r>
              <w:rPr>
                <w:rFonts w:hint="eastAsia" w:ascii="宋体" w:hAnsi="宋体"/>
                <w:color w:val="36363D"/>
                <w:kern w:val="0"/>
                <w:sz w:val="20"/>
                <w:szCs w:val="20"/>
              </w:rPr>
              <w:t>4</w:t>
            </w:r>
          </w:p>
        </w:tc>
      </w:tr>
      <w:tr w14:paraId="657200F5">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027BAD9">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9</w:t>
            </w:r>
          </w:p>
        </w:tc>
        <w:tc>
          <w:tcPr>
            <w:tcW w:w="2940" w:type="dxa"/>
            <w:tcBorders>
              <w:top w:val="nil"/>
              <w:left w:val="nil"/>
              <w:bottom w:val="single" w:color="auto" w:sz="4" w:space="0"/>
              <w:right w:val="single" w:color="auto" w:sz="4" w:space="0"/>
            </w:tcBorders>
            <w:shd w:val="clear" w:color="auto" w:fill="auto"/>
            <w:noWrap/>
            <w:vAlign w:val="center"/>
          </w:tcPr>
          <w:p w14:paraId="4DC69A46">
            <w:pPr>
              <w:widowControl/>
              <w:jc w:val="center"/>
              <w:rPr>
                <w:rFonts w:hint="eastAsia" w:ascii="宋体" w:hAnsi="宋体"/>
                <w:color w:val="36363D"/>
                <w:kern w:val="0"/>
                <w:sz w:val="20"/>
                <w:szCs w:val="20"/>
              </w:rPr>
            </w:pPr>
            <w:r>
              <w:rPr>
                <w:rFonts w:hint="eastAsia" w:ascii="宋体" w:hAnsi="宋体"/>
                <w:color w:val="36363D"/>
                <w:kern w:val="0"/>
                <w:sz w:val="20"/>
                <w:szCs w:val="20"/>
              </w:rPr>
              <w:t>体表电极</w:t>
            </w:r>
          </w:p>
        </w:tc>
        <w:tc>
          <w:tcPr>
            <w:tcW w:w="1080" w:type="dxa"/>
            <w:tcBorders>
              <w:top w:val="nil"/>
              <w:left w:val="nil"/>
              <w:bottom w:val="single" w:color="auto" w:sz="4" w:space="0"/>
              <w:right w:val="single" w:color="auto" w:sz="4" w:space="0"/>
            </w:tcBorders>
            <w:shd w:val="clear" w:color="auto" w:fill="auto"/>
            <w:noWrap/>
            <w:vAlign w:val="center"/>
          </w:tcPr>
          <w:p w14:paraId="5178AB4E">
            <w:pPr>
              <w:widowControl/>
              <w:jc w:val="center"/>
              <w:rPr>
                <w:rFonts w:hint="eastAsia" w:ascii="宋体" w:hAnsi="宋体"/>
                <w:color w:val="36363D"/>
                <w:kern w:val="0"/>
                <w:sz w:val="20"/>
                <w:szCs w:val="20"/>
              </w:rPr>
            </w:pPr>
            <w:r>
              <w:rPr>
                <w:rFonts w:hint="eastAsia" w:ascii="宋体" w:hAnsi="宋体"/>
                <w:color w:val="36363D"/>
                <w:kern w:val="0"/>
                <w:sz w:val="20"/>
                <w:szCs w:val="20"/>
              </w:rPr>
              <w:t>包</w:t>
            </w:r>
          </w:p>
        </w:tc>
        <w:tc>
          <w:tcPr>
            <w:tcW w:w="1080" w:type="dxa"/>
            <w:tcBorders>
              <w:top w:val="nil"/>
              <w:left w:val="nil"/>
              <w:bottom w:val="single" w:color="auto" w:sz="4" w:space="0"/>
              <w:right w:val="single" w:color="auto" w:sz="4" w:space="0"/>
            </w:tcBorders>
            <w:shd w:val="clear" w:color="auto" w:fill="auto"/>
            <w:noWrap/>
            <w:vAlign w:val="center"/>
          </w:tcPr>
          <w:p w14:paraId="7297A515">
            <w:pPr>
              <w:widowControl/>
              <w:jc w:val="center"/>
              <w:rPr>
                <w:rFonts w:hint="eastAsia" w:ascii="宋体" w:hAnsi="宋体"/>
                <w:color w:val="36363D"/>
                <w:kern w:val="0"/>
                <w:sz w:val="20"/>
                <w:szCs w:val="20"/>
              </w:rPr>
            </w:pPr>
            <w:r>
              <w:rPr>
                <w:rFonts w:hint="eastAsia" w:ascii="宋体" w:hAnsi="宋体"/>
                <w:color w:val="36363D"/>
                <w:kern w:val="0"/>
                <w:sz w:val="20"/>
                <w:szCs w:val="20"/>
              </w:rPr>
              <w:t>2</w:t>
            </w:r>
          </w:p>
        </w:tc>
      </w:tr>
      <w:tr w14:paraId="3D4B59C9">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414249B">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10</w:t>
            </w:r>
          </w:p>
        </w:tc>
        <w:tc>
          <w:tcPr>
            <w:tcW w:w="2940" w:type="dxa"/>
            <w:tcBorders>
              <w:top w:val="nil"/>
              <w:left w:val="nil"/>
              <w:bottom w:val="single" w:color="auto" w:sz="4" w:space="0"/>
              <w:right w:val="single" w:color="auto" w:sz="4" w:space="0"/>
            </w:tcBorders>
            <w:shd w:val="clear" w:color="auto" w:fill="auto"/>
            <w:noWrap/>
            <w:vAlign w:val="center"/>
          </w:tcPr>
          <w:p w14:paraId="6125E486">
            <w:pPr>
              <w:widowControl/>
              <w:jc w:val="center"/>
              <w:rPr>
                <w:rFonts w:hint="eastAsia" w:ascii="宋体" w:hAnsi="宋体"/>
                <w:color w:val="36363D"/>
                <w:kern w:val="0"/>
                <w:sz w:val="20"/>
                <w:szCs w:val="20"/>
              </w:rPr>
            </w:pPr>
            <w:r>
              <w:rPr>
                <w:rFonts w:hint="eastAsia" w:ascii="宋体" w:hAnsi="宋体"/>
                <w:color w:val="36363D"/>
                <w:kern w:val="0"/>
                <w:sz w:val="20"/>
                <w:szCs w:val="20"/>
              </w:rPr>
              <w:t xml:space="preserve">阴道压力探头 </w:t>
            </w:r>
          </w:p>
        </w:tc>
        <w:tc>
          <w:tcPr>
            <w:tcW w:w="1080" w:type="dxa"/>
            <w:tcBorders>
              <w:top w:val="nil"/>
              <w:left w:val="nil"/>
              <w:bottom w:val="single" w:color="auto" w:sz="4" w:space="0"/>
              <w:right w:val="single" w:color="auto" w:sz="4" w:space="0"/>
            </w:tcBorders>
            <w:shd w:val="clear" w:color="auto" w:fill="auto"/>
            <w:noWrap/>
            <w:vAlign w:val="center"/>
          </w:tcPr>
          <w:p w14:paraId="54918069">
            <w:pPr>
              <w:widowControl/>
              <w:jc w:val="center"/>
              <w:rPr>
                <w:rFonts w:hint="eastAsia" w:ascii="宋体" w:hAnsi="宋体"/>
                <w:color w:val="36363D"/>
                <w:kern w:val="0"/>
                <w:sz w:val="20"/>
                <w:szCs w:val="20"/>
              </w:rPr>
            </w:pPr>
            <w:r>
              <w:rPr>
                <w:rFonts w:hint="eastAsia" w:ascii="宋体" w:hAnsi="宋体"/>
                <w:color w:val="36363D"/>
                <w:kern w:val="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14:paraId="3A4F679C">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0197088F">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10B0092">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11</w:t>
            </w:r>
          </w:p>
        </w:tc>
        <w:tc>
          <w:tcPr>
            <w:tcW w:w="2940" w:type="dxa"/>
            <w:tcBorders>
              <w:top w:val="nil"/>
              <w:left w:val="nil"/>
              <w:bottom w:val="single" w:color="auto" w:sz="4" w:space="0"/>
              <w:right w:val="single" w:color="auto" w:sz="4" w:space="0"/>
            </w:tcBorders>
            <w:shd w:val="clear" w:color="auto" w:fill="auto"/>
            <w:noWrap/>
            <w:vAlign w:val="center"/>
          </w:tcPr>
          <w:p w14:paraId="5098F0FF">
            <w:pPr>
              <w:widowControl/>
              <w:jc w:val="center"/>
              <w:rPr>
                <w:rFonts w:hint="eastAsia" w:ascii="宋体" w:hAnsi="宋体"/>
                <w:color w:val="36363D"/>
                <w:kern w:val="0"/>
                <w:sz w:val="20"/>
                <w:szCs w:val="20"/>
              </w:rPr>
            </w:pPr>
            <w:r>
              <w:rPr>
                <w:rFonts w:hint="eastAsia" w:ascii="宋体" w:hAnsi="宋体"/>
                <w:color w:val="36363D"/>
                <w:kern w:val="0"/>
                <w:sz w:val="20"/>
                <w:szCs w:val="20"/>
              </w:rPr>
              <w:t>人体润滑剂</w:t>
            </w:r>
          </w:p>
        </w:tc>
        <w:tc>
          <w:tcPr>
            <w:tcW w:w="1080" w:type="dxa"/>
            <w:tcBorders>
              <w:top w:val="nil"/>
              <w:left w:val="nil"/>
              <w:bottom w:val="single" w:color="auto" w:sz="4" w:space="0"/>
              <w:right w:val="single" w:color="auto" w:sz="4" w:space="0"/>
            </w:tcBorders>
            <w:shd w:val="clear" w:color="auto" w:fill="auto"/>
            <w:noWrap/>
            <w:vAlign w:val="center"/>
          </w:tcPr>
          <w:p w14:paraId="37D5488F">
            <w:pPr>
              <w:widowControl/>
              <w:jc w:val="center"/>
              <w:rPr>
                <w:rFonts w:hint="eastAsia" w:ascii="宋体" w:hAnsi="宋体"/>
                <w:color w:val="36363D"/>
                <w:kern w:val="0"/>
                <w:sz w:val="20"/>
                <w:szCs w:val="20"/>
              </w:rPr>
            </w:pPr>
            <w:r>
              <w:rPr>
                <w:rFonts w:hint="eastAsia" w:ascii="宋体" w:hAnsi="宋体"/>
                <w:color w:val="36363D"/>
                <w:kern w:val="0"/>
                <w:sz w:val="20"/>
                <w:szCs w:val="20"/>
              </w:rPr>
              <w:t>支</w:t>
            </w:r>
          </w:p>
        </w:tc>
        <w:tc>
          <w:tcPr>
            <w:tcW w:w="1080" w:type="dxa"/>
            <w:tcBorders>
              <w:top w:val="nil"/>
              <w:left w:val="nil"/>
              <w:bottom w:val="single" w:color="auto" w:sz="4" w:space="0"/>
              <w:right w:val="single" w:color="auto" w:sz="4" w:space="0"/>
            </w:tcBorders>
            <w:shd w:val="clear" w:color="auto" w:fill="auto"/>
            <w:noWrap/>
            <w:vAlign w:val="center"/>
          </w:tcPr>
          <w:p w14:paraId="79F8BF01">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5E250DAF">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0D15457">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12</w:t>
            </w:r>
          </w:p>
        </w:tc>
        <w:tc>
          <w:tcPr>
            <w:tcW w:w="2940" w:type="dxa"/>
            <w:tcBorders>
              <w:top w:val="nil"/>
              <w:left w:val="nil"/>
              <w:bottom w:val="single" w:color="auto" w:sz="4" w:space="0"/>
              <w:right w:val="single" w:color="auto" w:sz="4" w:space="0"/>
            </w:tcBorders>
            <w:shd w:val="clear" w:color="auto" w:fill="auto"/>
            <w:noWrap/>
            <w:vAlign w:val="center"/>
          </w:tcPr>
          <w:p w14:paraId="6CD88A65">
            <w:pPr>
              <w:widowControl/>
              <w:jc w:val="center"/>
              <w:rPr>
                <w:rFonts w:hint="eastAsia" w:ascii="宋体" w:hAnsi="宋体"/>
                <w:color w:val="36363D"/>
                <w:kern w:val="0"/>
                <w:sz w:val="20"/>
                <w:szCs w:val="20"/>
              </w:rPr>
            </w:pPr>
            <w:r>
              <w:rPr>
                <w:rFonts w:hint="eastAsia" w:ascii="宋体" w:hAnsi="宋体"/>
                <w:color w:val="36363D"/>
                <w:kern w:val="0"/>
                <w:sz w:val="20"/>
                <w:szCs w:val="20"/>
              </w:rPr>
              <w:t xml:space="preserve">用户验收单  </w:t>
            </w:r>
          </w:p>
        </w:tc>
        <w:tc>
          <w:tcPr>
            <w:tcW w:w="1080" w:type="dxa"/>
            <w:tcBorders>
              <w:top w:val="nil"/>
              <w:left w:val="nil"/>
              <w:bottom w:val="single" w:color="auto" w:sz="4" w:space="0"/>
              <w:right w:val="single" w:color="auto" w:sz="4" w:space="0"/>
            </w:tcBorders>
            <w:shd w:val="clear" w:color="auto" w:fill="auto"/>
            <w:noWrap/>
            <w:vAlign w:val="center"/>
          </w:tcPr>
          <w:p w14:paraId="74A540FD">
            <w:pPr>
              <w:widowControl/>
              <w:jc w:val="center"/>
              <w:rPr>
                <w:rFonts w:hint="eastAsia" w:ascii="宋体" w:hAnsi="宋体"/>
                <w:color w:val="36363D"/>
                <w:kern w:val="0"/>
                <w:sz w:val="20"/>
                <w:szCs w:val="20"/>
              </w:rPr>
            </w:pPr>
            <w:r>
              <w:rPr>
                <w:rFonts w:hint="eastAsia" w:ascii="宋体" w:hAnsi="宋体"/>
                <w:color w:val="36363D"/>
                <w:kern w:val="0"/>
                <w:sz w:val="20"/>
                <w:szCs w:val="20"/>
              </w:rPr>
              <w:t>本</w:t>
            </w:r>
          </w:p>
        </w:tc>
        <w:tc>
          <w:tcPr>
            <w:tcW w:w="1080" w:type="dxa"/>
            <w:tcBorders>
              <w:top w:val="nil"/>
              <w:left w:val="nil"/>
              <w:bottom w:val="single" w:color="auto" w:sz="4" w:space="0"/>
              <w:right w:val="single" w:color="auto" w:sz="4" w:space="0"/>
            </w:tcBorders>
            <w:shd w:val="clear" w:color="auto" w:fill="auto"/>
            <w:noWrap/>
            <w:vAlign w:val="center"/>
          </w:tcPr>
          <w:p w14:paraId="7F78D73F">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1163CABE">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02CAA18">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13</w:t>
            </w:r>
          </w:p>
        </w:tc>
        <w:tc>
          <w:tcPr>
            <w:tcW w:w="2940" w:type="dxa"/>
            <w:tcBorders>
              <w:top w:val="nil"/>
              <w:left w:val="nil"/>
              <w:bottom w:val="single" w:color="auto" w:sz="4" w:space="0"/>
              <w:right w:val="single" w:color="auto" w:sz="4" w:space="0"/>
            </w:tcBorders>
            <w:shd w:val="clear" w:color="auto" w:fill="auto"/>
            <w:noWrap/>
            <w:vAlign w:val="center"/>
          </w:tcPr>
          <w:p w14:paraId="5A8B8D6E">
            <w:pPr>
              <w:widowControl/>
              <w:jc w:val="center"/>
              <w:rPr>
                <w:rFonts w:hint="eastAsia" w:ascii="宋体" w:hAnsi="宋体"/>
                <w:color w:val="36363D"/>
                <w:kern w:val="0"/>
                <w:sz w:val="20"/>
                <w:szCs w:val="20"/>
              </w:rPr>
            </w:pPr>
            <w:r>
              <w:rPr>
                <w:rFonts w:hint="eastAsia" w:ascii="宋体" w:hAnsi="宋体"/>
                <w:color w:val="36363D"/>
                <w:kern w:val="0"/>
                <w:sz w:val="20"/>
                <w:szCs w:val="20"/>
              </w:rPr>
              <w:t>合格证</w:t>
            </w:r>
          </w:p>
        </w:tc>
        <w:tc>
          <w:tcPr>
            <w:tcW w:w="1080" w:type="dxa"/>
            <w:tcBorders>
              <w:top w:val="nil"/>
              <w:left w:val="nil"/>
              <w:bottom w:val="single" w:color="auto" w:sz="4" w:space="0"/>
              <w:right w:val="single" w:color="auto" w:sz="4" w:space="0"/>
            </w:tcBorders>
            <w:shd w:val="clear" w:color="auto" w:fill="auto"/>
            <w:noWrap/>
            <w:vAlign w:val="center"/>
          </w:tcPr>
          <w:p w14:paraId="7BD5DF02">
            <w:pPr>
              <w:widowControl/>
              <w:jc w:val="center"/>
              <w:rPr>
                <w:rFonts w:hint="eastAsia" w:ascii="宋体" w:hAnsi="宋体"/>
                <w:color w:val="36363D"/>
                <w:kern w:val="0"/>
                <w:sz w:val="20"/>
                <w:szCs w:val="20"/>
              </w:rPr>
            </w:pPr>
            <w:r>
              <w:rPr>
                <w:rFonts w:hint="eastAsia" w:ascii="宋体" w:hAnsi="宋体"/>
                <w:color w:val="36363D"/>
                <w:kern w:val="0"/>
                <w:sz w:val="20"/>
                <w:szCs w:val="20"/>
              </w:rPr>
              <w:t>张</w:t>
            </w:r>
          </w:p>
        </w:tc>
        <w:tc>
          <w:tcPr>
            <w:tcW w:w="1080" w:type="dxa"/>
            <w:tcBorders>
              <w:top w:val="nil"/>
              <w:left w:val="nil"/>
              <w:bottom w:val="single" w:color="auto" w:sz="4" w:space="0"/>
              <w:right w:val="single" w:color="auto" w:sz="4" w:space="0"/>
            </w:tcBorders>
            <w:shd w:val="clear" w:color="auto" w:fill="auto"/>
            <w:noWrap/>
            <w:vAlign w:val="center"/>
          </w:tcPr>
          <w:p w14:paraId="482D1B7F">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211B2552">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234AA72">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14</w:t>
            </w:r>
          </w:p>
        </w:tc>
        <w:tc>
          <w:tcPr>
            <w:tcW w:w="2940" w:type="dxa"/>
            <w:tcBorders>
              <w:top w:val="nil"/>
              <w:left w:val="nil"/>
              <w:bottom w:val="single" w:color="auto" w:sz="4" w:space="0"/>
              <w:right w:val="single" w:color="auto" w:sz="4" w:space="0"/>
            </w:tcBorders>
            <w:shd w:val="clear" w:color="auto" w:fill="auto"/>
            <w:noWrap/>
            <w:vAlign w:val="center"/>
          </w:tcPr>
          <w:p w14:paraId="74AC6E1F">
            <w:pPr>
              <w:widowControl/>
              <w:jc w:val="center"/>
              <w:rPr>
                <w:rFonts w:hint="eastAsia" w:ascii="宋体" w:hAnsi="宋体"/>
                <w:color w:val="36363D"/>
                <w:kern w:val="0"/>
                <w:sz w:val="20"/>
                <w:szCs w:val="20"/>
              </w:rPr>
            </w:pPr>
            <w:r>
              <w:rPr>
                <w:rFonts w:hint="eastAsia" w:ascii="宋体" w:hAnsi="宋体"/>
                <w:color w:val="36363D"/>
                <w:kern w:val="0"/>
                <w:sz w:val="20"/>
                <w:szCs w:val="20"/>
              </w:rPr>
              <w:t>保修卡</w:t>
            </w:r>
          </w:p>
        </w:tc>
        <w:tc>
          <w:tcPr>
            <w:tcW w:w="1080" w:type="dxa"/>
            <w:tcBorders>
              <w:top w:val="nil"/>
              <w:left w:val="nil"/>
              <w:bottom w:val="single" w:color="auto" w:sz="4" w:space="0"/>
              <w:right w:val="single" w:color="auto" w:sz="4" w:space="0"/>
            </w:tcBorders>
            <w:shd w:val="clear" w:color="auto" w:fill="auto"/>
            <w:noWrap/>
            <w:vAlign w:val="center"/>
          </w:tcPr>
          <w:p w14:paraId="07E072DB">
            <w:pPr>
              <w:widowControl/>
              <w:jc w:val="center"/>
              <w:rPr>
                <w:rFonts w:hint="eastAsia" w:ascii="宋体" w:hAnsi="宋体"/>
                <w:color w:val="36363D"/>
                <w:kern w:val="0"/>
                <w:sz w:val="20"/>
                <w:szCs w:val="20"/>
              </w:rPr>
            </w:pPr>
            <w:r>
              <w:rPr>
                <w:rFonts w:hint="eastAsia" w:ascii="宋体" w:hAnsi="宋体"/>
                <w:color w:val="36363D"/>
                <w:kern w:val="0"/>
                <w:sz w:val="20"/>
                <w:szCs w:val="20"/>
              </w:rPr>
              <w:t>张</w:t>
            </w:r>
          </w:p>
        </w:tc>
        <w:tc>
          <w:tcPr>
            <w:tcW w:w="1080" w:type="dxa"/>
            <w:tcBorders>
              <w:top w:val="nil"/>
              <w:left w:val="nil"/>
              <w:bottom w:val="single" w:color="auto" w:sz="4" w:space="0"/>
              <w:right w:val="single" w:color="auto" w:sz="4" w:space="0"/>
            </w:tcBorders>
            <w:shd w:val="clear" w:color="auto" w:fill="auto"/>
            <w:noWrap/>
            <w:vAlign w:val="center"/>
          </w:tcPr>
          <w:p w14:paraId="6E824EDD">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6DCAAF18">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DDE9239">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15</w:t>
            </w:r>
          </w:p>
        </w:tc>
        <w:tc>
          <w:tcPr>
            <w:tcW w:w="2940" w:type="dxa"/>
            <w:tcBorders>
              <w:top w:val="nil"/>
              <w:left w:val="nil"/>
              <w:bottom w:val="single" w:color="auto" w:sz="4" w:space="0"/>
              <w:right w:val="single" w:color="auto" w:sz="4" w:space="0"/>
            </w:tcBorders>
            <w:shd w:val="clear" w:color="auto" w:fill="auto"/>
            <w:noWrap/>
            <w:vAlign w:val="center"/>
          </w:tcPr>
          <w:p w14:paraId="01D3B775">
            <w:pPr>
              <w:widowControl/>
              <w:jc w:val="center"/>
              <w:rPr>
                <w:rFonts w:hint="eastAsia" w:ascii="宋体" w:hAnsi="宋体"/>
                <w:color w:val="36363D"/>
                <w:kern w:val="0"/>
                <w:sz w:val="20"/>
                <w:szCs w:val="20"/>
              </w:rPr>
            </w:pPr>
            <w:r>
              <w:rPr>
                <w:rFonts w:hint="eastAsia" w:ascii="宋体" w:hAnsi="宋体"/>
                <w:color w:val="36363D"/>
                <w:kern w:val="0"/>
                <w:sz w:val="20"/>
                <w:szCs w:val="20"/>
              </w:rPr>
              <w:t>说明书</w:t>
            </w:r>
          </w:p>
        </w:tc>
        <w:tc>
          <w:tcPr>
            <w:tcW w:w="1080" w:type="dxa"/>
            <w:tcBorders>
              <w:top w:val="nil"/>
              <w:left w:val="nil"/>
              <w:bottom w:val="single" w:color="auto" w:sz="4" w:space="0"/>
              <w:right w:val="single" w:color="auto" w:sz="4" w:space="0"/>
            </w:tcBorders>
            <w:shd w:val="clear" w:color="auto" w:fill="auto"/>
            <w:noWrap/>
            <w:vAlign w:val="center"/>
          </w:tcPr>
          <w:p w14:paraId="6E779F64">
            <w:pPr>
              <w:widowControl/>
              <w:jc w:val="center"/>
              <w:rPr>
                <w:rFonts w:hint="eastAsia" w:ascii="宋体" w:hAnsi="宋体"/>
                <w:color w:val="36363D"/>
                <w:kern w:val="0"/>
                <w:sz w:val="20"/>
                <w:szCs w:val="20"/>
              </w:rPr>
            </w:pPr>
            <w:r>
              <w:rPr>
                <w:rFonts w:hint="eastAsia" w:ascii="宋体" w:hAnsi="宋体"/>
                <w:color w:val="36363D"/>
                <w:kern w:val="0"/>
                <w:sz w:val="20"/>
                <w:szCs w:val="20"/>
              </w:rPr>
              <w:t>本</w:t>
            </w:r>
          </w:p>
        </w:tc>
        <w:tc>
          <w:tcPr>
            <w:tcW w:w="1080" w:type="dxa"/>
            <w:tcBorders>
              <w:top w:val="nil"/>
              <w:left w:val="nil"/>
              <w:bottom w:val="single" w:color="auto" w:sz="4" w:space="0"/>
              <w:right w:val="single" w:color="auto" w:sz="4" w:space="0"/>
            </w:tcBorders>
            <w:shd w:val="clear" w:color="auto" w:fill="auto"/>
            <w:noWrap/>
            <w:vAlign w:val="center"/>
          </w:tcPr>
          <w:p w14:paraId="58A077E6">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2713B62B">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DAB168D">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16</w:t>
            </w:r>
          </w:p>
        </w:tc>
        <w:tc>
          <w:tcPr>
            <w:tcW w:w="2940" w:type="dxa"/>
            <w:tcBorders>
              <w:top w:val="nil"/>
              <w:left w:val="nil"/>
              <w:bottom w:val="single" w:color="auto" w:sz="4" w:space="0"/>
              <w:right w:val="single" w:color="auto" w:sz="4" w:space="0"/>
            </w:tcBorders>
            <w:shd w:val="clear" w:color="auto" w:fill="auto"/>
            <w:noWrap/>
            <w:vAlign w:val="center"/>
          </w:tcPr>
          <w:p w14:paraId="193DD248">
            <w:pPr>
              <w:widowControl/>
              <w:jc w:val="center"/>
              <w:rPr>
                <w:rFonts w:hint="eastAsia" w:ascii="宋体" w:hAnsi="宋体"/>
                <w:color w:val="36363D"/>
                <w:kern w:val="0"/>
                <w:sz w:val="20"/>
                <w:szCs w:val="20"/>
              </w:rPr>
            </w:pPr>
            <w:r>
              <w:rPr>
                <w:rFonts w:hint="eastAsia" w:ascii="宋体" w:hAnsi="宋体"/>
                <w:color w:val="36363D"/>
                <w:kern w:val="0"/>
                <w:sz w:val="20"/>
                <w:szCs w:val="20"/>
              </w:rPr>
              <w:t>速查卡</w:t>
            </w:r>
          </w:p>
        </w:tc>
        <w:tc>
          <w:tcPr>
            <w:tcW w:w="1080" w:type="dxa"/>
            <w:tcBorders>
              <w:top w:val="nil"/>
              <w:left w:val="nil"/>
              <w:bottom w:val="single" w:color="auto" w:sz="4" w:space="0"/>
              <w:right w:val="single" w:color="auto" w:sz="4" w:space="0"/>
            </w:tcBorders>
            <w:shd w:val="clear" w:color="auto" w:fill="auto"/>
            <w:noWrap/>
            <w:vAlign w:val="center"/>
          </w:tcPr>
          <w:p w14:paraId="6326E8F7">
            <w:pPr>
              <w:widowControl/>
              <w:jc w:val="center"/>
              <w:rPr>
                <w:rFonts w:hint="eastAsia" w:ascii="宋体" w:hAnsi="宋体"/>
                <w:color w:val="36363D"/>
                <w:kern w:val="0"/>
                <w:sz w:val="20"/>
                <w:szCs w:val="20"/>
              </w:rPr>
            </w:pPr>
            <w:r>
              <w:rPr>
                <w:rFonts w:hint="eastAsia" w:ascii="宋体" w:hAnsi="宋体"/>
                <w:color w:val="36363D"/>
                <w:kern w:val="0"/>
                <w:sz w:val="20"/>
                <w:szCs w:val="20"/>
              </w:rPr>
              <w:t>本</w:t>
            </w:r>
          </w:p>
        </w:tc>
        <w:tc>
          <w:tcPr>
            <w:tcW w:w="1080" w:type="dxa"/>
            <w:tcBorders>
              <w:top w:val="nil"/>
              <w:left w:val="nil"/>
              <w:bottom w:val="single" w:color="auto" w:sz="4" w:space="0"/>
              <w:right w:val="single" w:color="auto" w:sz="4" w:space="0"/>
            </w:tcBorders>
            <w:shd w:val="clear" w:color="auto" w:fill="auto"/>
            <w:noWrap/>
            <w:vAlign w:val="center"/>
          </w:tcPr>
          <w:p w14:paraId="5F7364C1">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302B9471">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2058D08">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17</w:t>
            </w:r>
          </w:p>
        </w:tc>
        <w:tc>
          <w:tcPr>
            <w:tcW w:w="2940" w:type="dxa"/>
            <w:tcBorders>
              <w:top w:val="nil"/>
              <w:left w:val="nil"/>
              <w:bottom w:val="single" w:color="auto" w:sz="4" w:space="0"/>
              <w:right w:val="single" w:color="auto" w:sz="4" w:space="0"/>
            </w:tcBorders>
            <w:shd w:val="clear" w:color="auto" w:fill="auto"/>
            <w:noWrap/>
            <w:vAlign w:val="center"/>
          </w:tcPr>
          <w:p w14:paraId="2C86C053">
            <w:pPr>
              <w:widowControl/>
              <w:jc w:val="center"/>
              <w:rPr>
                <w:rFonts w:hint="eastAsia" w:ascii="宋体" w:hAnsi="宋体"/>
                <w:color w:val="36363D"/>
                <w:kern w:val="0"/>
                <w:sz w:val="20"/>
                <w:szCs w:val="20"/>
              </w:rPr>
            </w:pPr>
            <w:r>
              <w:rPr>
                <w:rFonts w:hint="eastAsia" w:ascii="宋体" w:hAnsi="宋体"/>
                <w:color w:val="36363D"/>
                <w:kern w:val="0"/>
                <w:sz w:val="20"/>
                <w:szCs w:val="20"/>
              </w:rPr>
              <w:t>脚踏开关</w:t>
            </w:r>
          </w:p>
        </w:tc>
        <w:tc>
          <w:tcPr>
            <w:tcW w:w="1080" w:type="dxa"/>
            <w:tcBorders>
              <w:top w:val="nil"/>
              <w:left w:val="nil"/>
              <w:bottom w:val="single" w:color="auto" w:sz="4" w:space="0"/>
              <w:right w:val="single" w:color="auto" w:sz="4" w:space="0"/>
            </w:tcBorders>
            <w:shd w:val="clear" w:color="auto" w:fill="auto"/>
            <w:noWrap/>
            <w:vAlign w:val="center"/>
          </w:tcPr>
          <w:p w14:paraId="6502794E">
            <w:pPr>
              <w:widowControl/>
              <w:jc w:val="center"/>
              <w:rPr>
                <w:rFonts w:hint="eastAsia" w:ascii="宋体" w:hAnsi="宋体"/>
                <w:color w:val="36363D"/>
                <w:kern w:val="0"/>
                <w:sz w:val="20"/>
                <w:szCs w:val="20"/>
              </w:rPr>
            </w:pPr>
            <w:r>
              <w:rPr>
                <w:rFonts w:hint="eastAsia" w:ascii="宋体" w:hAnsi="宋体"/>
                <w:color w:val="36363D"/>
                <w:kern w:val="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14:paraId="09A1298A">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08837F4E">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88202B9">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18</w:t>
            </w:r>
          </w:p>
        </w:tc>
        <w:tc>
          <w:tcPr>
            <w:tcW w:w="2940" w:type="dxa"/>
            <w:tcBorders>
              <w:top w:val="nil"/>
              <w:left w:val="nil"/>
              <w:bottom w:val="single" w:color="auto" w:sz="4" w:space="0"/>
              <w:right w:val="single" w:color="auto" w:sz="4" w:space="0"/>
            </w:tcBorders>
            <w:shd w:val="clear" w:color="auto" w:fill="auto"/>
            <w:noWrap/>
            <w:vAlign w:val="center"/>
          </w:tcPr>
          <w:p w14:paraId="33B99ABE">
            <w:pPr>
              <w:widowControl/>
              <w:jc w:val="center"/>
              <w:rPr>
                <w:rFonts w:hint="eastAsia" w:ascii="宋体" w:hAnsi="宋体"/>
                <w:color w:val="36363D"/>
                <w:kern w:val="0"/>
                <w:sz w:val="20"/>
                <w:szCs w:val="20"/>
              </w:rPr>
            </w:pPr>
            <w:r>
              <w:rPr>
                <w:rFonts w:hint="eastAsia" w:ascii="宋体" w:hAnsi="宋体"/>
                <w:color w:val="36363D"/>
                <w:kern w:val="0"/>
                <w:sz w:val="20"/>
                <w:szCs w:val="20"/>
              </w:rPr>
              <w:t>线控器</w:t>
            </w:r>
          </w:p>
        </w:tc>
        <w:tc>
          <w:tcPr>
            <w:tcW w:w="1080" w:type="dxa"/>
            <w:tcBorders>
              <w:top w:val="nil"/>
              <w:left w:val="nil"/>
              <w:bottom w:val="single" w:color="auto" w:sz="4" w:space="0"/>
              <w:right w:val="single" w:color="auto" w:sz="4" w:space="0"/>
            </w:tcBorders>
            <w:shd w:val="clear" w:color="auto" w:fill="auto"/>
            <w:noWrap/>
            <w:vAlign w:val="center"/>
          </w:tcPr>
          <w:p w14:paraId="42771D4D">
            <w:pPr>
              <w:widowControl/>
              <w:jc w:val="center"/>
              <w:rPr>
                <w:rFonts w:hint="eastAsia" w:ascii="宋体" w:hAnsi="宋体"/>
                <w:color w:val="36363D"/>
                <w:kern w:val="0"/>
                <w:sz w:val="20"/>
                <w:szCs w:val="20"/>
              </w:rPr>
            </w:pPr>
            <w:r>
              <w:rPr>
                <w:rFonts w:hint="eastAsia" w:ascii="宋体" w:hAnsi="宋体"/>
                <w:color w:val="36363D"/>
                <w:kern w:val="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14:paraId="036E05E2">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730F896D">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34600EB">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19</w:t>
            </w:r>
          </w:p>
        </w:tc>
        <w:tc>
          <w:tcPr>
            <w:tcW w:w="2940" w:type="dxa"/>
            <w:tcBorders>
              <w:top w:val="nil"/>
              <w:left w:val="nil"/>
              <w:bottom w:val="single" w:color="auto" w:sz="4" w:space="0"/>
              <w:right w:val="single" w:color="auto" w:sz="4" w:space="0"/>
            </w:tcBorders>
            <w:shd w:val="clear" w:color="auto" w:fill="auto"/>
            <w:noWrap/>
            <w:vAlign w:val="center"/>
          </w:tcPr>
          <w:p w14:paraId="7BCFB62C">
            <w:pPr>
              <w:widowControl/>
              <w:jc w:val="center"/>
              <w:rPr>
                <w:rFonts w:hint="eastAsia" w:ascii="宋体" w:hAnsi="宋体"/>
                <w:color w:val="36363D"/>
                <w:kern w:val="0"/>
                <w:sz w:val="20"/>
                <w:szCs w:val="20"/>
              </w:rPr>
            </w:pPr>
            <w:r>
              <w:rPr>
                <w:rFonts w:hint="eastAsia" w:ascii="宋体" w:hAnsi="宋体"/>
                <w:color w:val="36363D"/>
                <w:kern w:val="0"/>
                <w:sz w:val="20"/>
                <w:szCs w:val="20"/>
              </w:rPr>
              <w:t>台车防尘罩</w:t>
            </w:r>
          </w:p>
        </w:tc>
        <w:tc>
          <w:tcPr>
            <w:tcW w:w="1080" w:type="dxa"/>
            <w:tcBorders>
              <w:top w:val="nil"/>
              <w:left w:val="nil"/>
              <w:bottom w:val="single" w:color="auto" w:sz="4" w:space="0"/>
              <w:right w:val="single" w:color="auto" w:sz="4" w:space="0"/>
            </w:tcBorders>
            <w:shd w:val="clear" w:color="auto" w:fill="auto"/>
            <w:noWrap/>
            <w:vAlign w:val="center"/>
          </w:tcPr>
          <w:p w14:paraId="46EA45DD">
            <w:pPr>
              <w:widowControl/>
              <w:jc w:val="center"/>
              <w:rPr>
                <w:rFonts w:hint="eastAsia" w:ascii="宋体" w:hAnsi="宋体"/>
                <w:color w:val="36363D"/>
                <w:kern w:val="0"/>
                <w:sz w:val="20"/>
                <w:szCs w:val="20"/>
              </w:rPr>
            </w:pPr>
            <w:r>
              <w:rPr>
                <w:rFonts w:hint="eastAsia" w:ascii="宋体" w:hAnsi="宋体"/>
                <w:color w:val="36363D"/>
                <w:kern w:val="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14:paraId="1206368F">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571AE60B">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ED423B3">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20</w:t>
            </w:r>
          </w:p>
        </w:tc>
        <w:tc>
          <w:tcPr>
            <w:tcW w:w="2940" w:type="dxa"/>
            <w:tcBorders>
              <w:top w:val="nil"/>
              <w:left w:val="nil"/>
              <w:bottom w:val="single" w:color="auto" w:sz="4" w:space="0"/>
              <w:right w:val="single" w:color="auto" w:sz="4" w:space="0"/>
            </w:tcBorders>
            <w:shd w:val="clear" w:color="auto" w:fill="auto"/>
            <w:noWrap/>
            <w:vAlign w:val="center"/>
          </w:tcPr>
          <w:p w14:paraId="4F182A13">
            <w:pPr>
              <w:widowControl/>
              <w:jc w:val="center"/>
              <w:rPr>
                <w:rFonts w:hint="eastAsia" w:ascii="宋体" w:hAnsi="宋体"/>
                <w:color w:val="36363D"/>
                <w:kern w:val="0"/>
                <w:sz w:val="20"/>
                <w:szCs w:val="20"/>
              </w:rPr>
            </w:pPr>
            <w:r>
              <w:rPr>
                <w:rFonts w:hint="eastAsia" w:ascii="宋体" w:hAnsi="宋体"/>
                <w:color w:val="36363D"/>
                <w:kern w:val="0"/>
                <w:sz w:val="20"/>
                <w:szCs w:val="20"/>
              </w:rPr>
              <w:t>接地线</w:t>
            </w:r>
          </w:p>
        </w:tc>
        <w:tc>
          <w:tcPr>
            <w:tcW w:w="1080" w:type="dxa"/>
            <w:tcBorders>
              <w:top w:val="nil"/>
              <w:left w:val="nil"/>
              <w:bottom w:val="single" w:color="auto" w:sz="4" w:space="0"/>
              <w:right w:val="single" w:color="auto" w:sz="4" w:space="0"/>
            </w:tcBorders>
            <w:shd w:val="clear" w:color="auto" w:fill="auto"/>
            <w:noWrap/>
            <w:vAlign w:val="center"/>
          </w:tcPr>
          <w:p w14:paraId="655B1186">
            <w:pPr>
              <w:widowControl/>
              <w:jc w:val="center"/>
              <w:rPr>
                <w:rFonts w:hint="eastAsia" w:ascii="宋体" w:hAnsi="宋体"/>
                <w:color w:val="36363D"/>
                <w:kern w:val="0"/>
                <w:sz w:val="20"/>
                <w:szCs w:val="20"/>
              </w:rPr>
            </w:pPr>
            <w:r>
              <w:rPr>
                <w:rFonts w:hint="eastAsia" w:ascii="宋体" w:hAnsi="宋体"/>
                <w:color w:val="36363D"/>
                <w:kern w:val="0"/>
                <w:sz w:val="20"/>
                <w:szCs w:val="20"/>
              </w:rPr>
              <w:t>根</w:t>
            </w:r>
          </w:p>
        </w:tc>
        <w:tc>
          <w:tcPr>
            <w:tcW w:w="1080" w:type="dxa"/>
            <w:tcBorders>
              <w:top w:val="nil"/>
              <w:left w:val="nil"/>
              <w:bottom w:val="single" w:color="auto" w:sz="4" w:space="0"/>
              <w:right w:val="single" w:color="auto" w:sz="4" w:space="0"/>
            </w:tcBorders>
            <w:shd w:val="clear" w:color="auto" w:fill="auto"/>
            <w:noWrap/>
            <w:vAlign w:val="center"/>
          </w:tcPr>
          <w:p w14:paraId="4C117E97">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55754118">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142FC48">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21</w:t>
            </w:r>
          </w:p>
        </w:tc>
        <w:tc>
          <w:tcPr>
            <w:tcW w:w="2940" w:type="dxa"/>
            <w:tcBorders>
              <w:top w:val="nil"/>
              <w:left w:val="nil"/>
              <w:bottom w:val="single" w:color="auto" w:sz="4" w:space="0"/>
              <w:right w:val="single" w:color="auto" w:sz="4" w:space="0"/>
            </w:tcBorders>
            <w:shd w:val="clear" w:color="auto" w:fill="auto"/>
            <w:noWrap/>
            <w:vAlign w:val="center"/>
          </w:tcPr>
          <w:p w14:paraId="3CAC7D0F">
            <w:pPr>
              <w:widowControl/>
              <w:jc w:val="center"/>
              <w:rPr>
                <w:rFonts w:hint="eastAsia" w:ascii="宋体" w:hAnsi="宋体"/>
                <w:color w:val="36363D"/>
                <w:kern w:val="0"/>
                <w:sz w:val="20"/>
                <w:szCs w:val="20"/>
              </w:rPr>
            </w:pPr>
            <w:r>
              <w:rPr>
                <w:rFonts w:hint="eastAsia" w:ascii="宋体" w:hAnsi="宋体"/>
                <w:color w:val="36363D"/>
                <w:kern w:val="0"/>
                <w:sz w:val="20"/>
                <w:szCs w:val="20"/>
              </w:rPr>
              <w:t>鼠标</w:t>
            </w:r>
          </w:p>
        </w:tc>
        <w:tc>
          <w:tcPr>
            <w:tcW w:w="1080" w:type="dxa"/>
            <w:tcBorders>
              <w:top w:val="nil"/>
              <w:left w:val="nil"/>
              <w:bottom w:val="single" w:color="auto" w:sz="4" w:space="0"/>
              <w:right w:val="single" w:color="auto" w:sz="4" w:space="0"/>
            </w:tcBorders>
            <w:shd w:val="clear" w:color="auto" w:fill="auto"/>
            <w:noWrap/>
            <w:vAlign w:val="center"/>
          </w:tcPr>
          <w:p w14:paraId="417A9895">
            <w:pPr>
              <w:widowControl/>
              <w:jc w:val="center"/>
              <w:rPr>
                <w:rFonts w:hint="eastAsia" w:ascii="宋体" w:hAnsi="宋体"/>
                <w:color w:val="36363D"/>
                <w:kern w:val="0"/>
                <w:sz w:val="20"/>
                <w:szCs w:val="20"/>
              </w:rPr>
            </w:pPr>
            <w:r>
              <w:rPr>
                <w:rFonts w:hint="eastAsia" w:ascii="宋体" w:hAnsi="宋体"/>
                <w:color w:val="36363D"/>
                <w:kern w:val="0"/>
                <w:sz w:val="20"/>
                <w:szCs w:val="20"/>
              </w:rPr>
              <w:t>只</w:t>
            </w:r>
          </w:p>
        </w:tc>
        <w:tc>
          <w:tcPr>
            <w:tcW w:w="1080" w:type="dxa"/>
            <w:tcBorders>
              <w:top w:val="nil"/>
              <w:left w:val="nil"/>
              <w:bottom w:val="single" w:color="auto" w:sz="4" w:space="0"/>
              <w:right w:val="single" w:color="auto" w:sz="4" w:space="0"/>
            </w:tcBorders>
            <w:shd w:val="clear" w:color="auto" w:fill="auto"/>
            <w:noWrap/>
            <w:vAlign w:val="center"/>
          </w:tcPr>
          <w:p w14:paraId="7A08D992">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7E8E4B62">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1AEC1A7">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22</w:t>
            </w:r>
          </w:p>
        </w:tc>
        <w:tc>
          <w:tcPr>
            <w:tcW w:w="2940" w:type="dxa"/>
            <w:tcBorders>
              <w:top w:val="nil"/>
              <w:left w:val="nil"/>
              <w:bottom w:val="single" w:color="auto" w:sz="4" w:space="0"/>
              <w:right w:val="single" w:color="auto" w:sz="4" w:space="0"/>
            </w:tcBorders>
            <w:shd w:val="clear" w:color="auto" w:fill="auto"/>
            <w:noWrap/>
            <w:vAlign w:val="center"/>
          </w:tcPr>
          <w:p w14:paraId="7E9806E6">
            <w:pPr>
              <w:widowControl/>
              <w:jc w:val="center"/>
              <w:rPr>
                <w:rFonts w:hint="eastAsia" w:ascii="宋体" w:hAnsi="宋体"/>
                <w:color w:val="36363D"/>
                <w:kern w:val="0"/>
                <w:sz w:val="20"/>
                <w:szCs w:val="20"/>
              </w:rPr>
            </w:pPr>
            <w:r>
              <w:rPr>
                <w:rFonts w:hint="eastAsia" w:ascii="宋体" w:hAnsi="宋体"/>
                <w:color w:val="36363D"/>
                <w:kern w:val="0"/>
                <w:sz w:val="20"/>
                <w:szCs w:val="20"/>
              </w:rPr>
              <w:t xml:space="preserve">保险管  </w:t>
            </w:r>
          </w:p>
        </w:tc>
        <w:tc>
          <w:tcPr>
            <w:tcW w:w="1080" w:type="dxa"/>
            <w:tcBorders>
              <w:top w:val="nil"/>
              <w:left w:val="nil"/>
              <w:bottom w:val="single" w:color="auto" w:sz="4" w:space="0"/>
              <w:right w:val="single" w:color="auto" w:sz="4" w:space="0"/>
            </w:tcBorders>
            <w:shd w:val="clear" w:color="auto" w:fill="auto"/>
            <w:noWrap/>
            <w:vAlign w:val="center"/>
          </w:tcPr>
          <w:p w14:paraId="2AF9584E">
            <w:pPr>
              <w:widowControl/>
              <w:jc w:val="center"/>
              <w:rPr>
                <w:rFonts w:hint="eastAsia" w:ascii="宋体" w:hAnsi="宋体"/>
                <w:color w:val="36363D"/>
                <w:kern w:val="0"/>
                <w:sz w:val="20"/>
                <w:szCs w:val="20"/>
              </w:rPr>
            </w:pPr>
            <w:r>
              <w:rPr>
                <w:rFonts w:hint="eastAsia" w:ascii="宋体" w:hAnsi="宋体"/>
                <w:color w:val="36363D"/>
                <w:kern w:val="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14:paraId="63A681F6">
            <w:pPr>
              <w:widowControl/>
              <w:jc w:val="center"/>
              <w:rPr>
                <w:rFonts w:hint="eastAsia" w:ascii="宋体" w:hAnsi="宋体"/>
                <w:color w:val="36363D"/>
                <w:kern w:val="0"/>
                <w:sz w:val="20"/>
                <w:szCs w:val="20"/>
              </w:rPr>
            </w:pPr>
            <w:r>
              <w:rPr>
                <w:rFonts w:hint="eastAsia" w:ascii="宋体" w:hAnsi="宋体"/>
                <w:color w:val="36363D"/>
                <w:kern w:val="0"/>
                <w:sz w:val="20"/>
                <w:szCs w:val="20"/>
              </w:rPr>
              <w:t>2</w:t>
            </w:r>
          </w:p>
        </w:tc>
      </w:tr>
      <w:tr w14:paraId="14F6259E">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75DB151">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23</w:t>
            </w:r>
          </w:p>
        </w:tc>
        <w:tc>
          <w:tcPr>
            <w:tcW w:w="2940" w:type="dxa"/>
            <w:tcBorders>
              <w:top w:val="nil"/>
              <w:left w:val="nil"/>
              <w:bottom w:val="single" w:color="auto" w:sz="4" w:space="0"/>
              <w:right w:val="single" w:color="auto" w:sz="4" w:space="0"/>
            </w:tcBorders>
            <w:shd w:val="clear" w:color="auto" w:fill="auto"/>
            <w:noWrap/>
            <w:vAlign w:val="center"/>
          </w:tcPr>
          <w:p w14:paraId="27FE1AA9">
            <w:pPr>
              <w:widowControl/>
              <w:jc w:val="center"/>
              <w:rPr>
                <w:rFonts w:hint="eastAsia" w:ascii="宋体" w:hAnsi="宋体"/>
                <w:color w:val="36363D"/>
                <w:kern w:val="0"/>
                <w:sz w:val="20"/>
                <w:szCs w:val="20"/>
              </w:rPr>
            </w:pPr>
            <w:r>
              <w:rPr>
                <w:rFonts w:hint="eastAsia" w:ascii="宋体" w:hAnsi="宋体"/>
                <w:color w:val="36363D"/>
                <w:kern w:val="0"/>
                <w:sz w:val="20"/>
                <w:szCs w:val="20"/>
              </w:rPr>
              <w:t>5mm内六角扳手</w:t>
            </w:r>
          </w:p>
        </w:tc>
        <w:tc>
          <w:tcPr>
            <w:tcW w:w="1080" w:type="dxa"/>
            <w:tcBorders>
              <w:top w:val="nil"/>
              <w:left w:val="nil"/>
              <w:bottom w:val="single" w:color="auto" w:sz="4" w:space="0"/>
              <w:right w:val="single" w:color="auto" w:sz="4" w:space="0"/>
            </w:tcBorders>
            <w:shd w:val="clear" w:color="auto" w:fill="auto"/>
            <w:noWrap/>
            <w:vAlign w:val="center"/>
          </w:tcPr>
          <w:p w14:paraId="4C2F76DF">
            <w:pPr>
              <w:widowControl/>
              <w:jc w:val="center"/>
              <w:rPr>
                <w:rFonts w:hint="eastAsia" w:ascii="宋体" w:hAnsi="宋体"/>
                <w:color w:val="36363D"/>
                <w:kern w:val="0"/>
                <w:sz w:val="20"/>
                <w:szCs w:val="20"/>
              </w:rPr>
            </w:pPr>
            <w:r>
              <w:rPr>
                <w:rFonts w:hint="eastAsia" w:ascii="宋体" w:hAnsi="宋体"/>
                <w:color w:val="36363D"/>
                <w:kern w:val="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14:paraId="247F156E">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32A2E7B6">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46E2298">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24</w:t>
            </w:r>
          </w:p>
        </w:tc>
        <w:tc>
          <w:tcPr>
            <w:tcW w:w="2940" w:type="dxa"/>
            <w:tcBorders>
              <w:top w:val="nil"/>
              <w:left w:val="nil"/>
              <w:bottom w:val="single" w:color="auto" w:sz="4" w:space="0"/>
              <w:right w:val="single" w:color="auto" w:sz="4" w:space="0"/>
            </w:tcBorders>
            <w:shd w:val="clear" w:color="auto" w:fill="auto"/>
            <w:noWrap/>
            <w:vAlign w:val="center"/>
          </w:tcPr>
          <w:p w14:paraId="76F84596">
            <w:pPr>
              <w:widowControl/>
              <w:jc w:val="center"/>
              <w:rPr>
                <w:rFonts w:hint="eastAsia" w:ascii="宋体" w:hAnsi="宋体"/>
                <w:color w:val="36363D"/>
                <w:kern w:val="0"/>
                <w:sz w:val="20"/>
                <w:szCs w:val="20"/>
              </w:rPr>
            </w:pPr>
            <w:r>
              <w:rPr>
                <w:rFonts w:hint="eastAsia" w:ascii="宋体" w:hAnsi="宋体"/>
                <w:color w:val="36363D"/>
                <w:kern w:val="0"/>
                <w:sz w:val="20"/>
                <w:szCs w:val="20"/>
              </w:rPr>
              <w:t>键盘挂钩</w:t>
            </w:r>
          </w:p>
        </w:tc>
        <w:tc>
          <w:tcPr>
            <w:tcW w:w="1080" w:type="dxa"/>
            <w:tcBorders>
              <w:top w:val="nil"/>
              <w:left w:val="nil"/>
              <w:bottom w:val="single" w:color="auto" w:sz="4" w:space="0"/>
              <w:right w:val="single" w:color="auto" w:sz="4" w:space="0"/>
            </w:tcBorders>
            <w:shd w:val="clear" w:color="auto" w:fill="auto"/>
            <w:noWrap/>
            <w:vAlign w:val="center"/>
          </w:tcPr>
          <w:p w14:paraId="576EF737">
            <w:pPr>
              <w:widowControl/>
              <w:jc w:val="center"/>
              <w:rPr>
                <w:rFonts w:hint="eastAsia" w:ascii="宋体" w:hAnsi="宋体"/>
                <w:color w:val="36363D"/>
                <w:kern w:val="0"/>
                <w:sz w:val="20"/>
                <w:szCs w:val="20"/>
              </w:rPr>
            </w:pPr>
            <w:r>
              <w:rPr>
                <w:rFonts w:hint="eastAsia" w:ascii="宋体" w:hAnsi="宋体"/>
                <w:color w:val="36363D"/>
                <w:kern w:val="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14:paraId="00F773A5">
            <w:pPr>
              <w:widowControl/>
              <w:jc w:val="center"/>
              <w:rPr>
                <w:rFonts w:hint="eastAsia" w:ascii="宋体" w:hAnsi="宋体"/>
                <w:color w:val="36363D"/>
                <w:kern w:val="0"/>
                <w:sz w:val="20"/>
                <w:szCs w:val="20"/>
              </w:rPr>
            </w:pPr>
            <w:r>
              <w:rPr>
                <w:rFonts w:hint="eastAsia" w:ascii="宋体" w:hAnsi="宋体"/>
                <w:color w:val="36363D"/>
                <w:kern w:val="0"/>
                <w:sz w:val="20"/>
                <w:szCs w:val="20"/>
              </w:rPr>
              <w:t>2</w:t>
            </w:r>
          </w:p>
        </w:tc>
      </w:tr>
      <w:tr w14:paraId="4C1ECFA1">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65A8697">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25</w:t>
            </w:r>
          </w:p>
        </w:tc>
        <w:tc>
          <w:tcPr>
            <w:tcW w:w="2940" w:type="dxa"/>
            <w:tcBorders>
              <w:top w:val="nil"/>
              <w:left w:val="nil"/>
              <w:bottom w:val="single" w:color="auto" w:sz="4" w:space="0"/>
              <w:right w:val="single" w:color="auto" w:sz="4" w:space="0"/>
            </w:tcBorders>
            <w:shd w:val="clear" w:color="auto" w:fill="auto"/>
            <w:noWrap/>
            <w:vAlign w:val="center"/>
          </w:tcPr>
          <w:p w14:paraId="2BC10724">
            <w:pPr>
              <w:widowControl/>
              <w:jc w:val="center"/>
              <w:rPr>
                <w:rFonts w:hint="eastAsia" w:ascii="宋体" w:hAnsi="宋体"/>
                <w:color w:val="36363D"/>
                <w:kern w:val="0"/>
                <w:sz w:val="20"/>
                <w:szCs w:val="20"/>
              </w:rPr>
            </w:pPr>
            <w:r>
              <w:rPr>
                <w:rFonts w:hint="eastAsia" w:ascii="宋体" w:hAnsi="宋体"/>
                <w:color w:val="36363D"/>
                <w:kern w:val="0"/>
                <w:sz w:val="20"/>
                <w:szCs w:val="20"/>
              </w:rPr>
              <w:t>台车篮子固定板</w:t>
            </w:r>
          </w:p>
        </w:tc>
        <w:tc>
          <w:tcPr>
            <w:tcW w:w="1080" w:type="dxa"/>
            <w:tcBorders>
              <w:top w:val="nil"/>
              <w:left w:val="nil"/>
              <w:bottom w:val="single" w:color="auto" w:sz="4" w:space="0"/>
              <w:right w:val="single" w:color="auto" w:sz="4" w:space="0"/>
            </w:tcBorders>
            <w:shd w:val="clear" w:color="auto" w:fill="auto"/>
            <w:noWrap/>
            <w:vAlign w:val="center"/>
          </w:tcPr>
          <w:p w14:paraId="56C8F244">
            <w:pPr>
              <w:widowControl/>
              <w:jc w:val="center"/>
              <w:rPr>
                <w:rFonts w:hint="eastAsia" w:ascii="宋体" w:hAnsi="宋体"/>
                <w:color w:val="36363D"/>
                <w:kern w:val="0"/>
                <w:sz w:val="20"/>
                <w:szCs w:val="20"/>
              </w:rPr>
            </w:pPr>
            <w:r>
              <w:rPr>
                <w:rFonts w:hint="eastAsia" w:ascii="宋体" w:hAnsi="宋体"/>
                <w:color w:val="36363D"/>
                <w:kern w:val="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14:paraId="005D3602">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7713ECBA">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E243AE9">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26</w:t>
            </w:r>
          </w:p>
        </w:tc>
        <w:tc>
          <w:tcPr>
            <w:tcW w:w="2940" w:type="dxa"/>
            <w:tcBorders>
              <w:top w:val="nil"/>
              <w:left w:val="nil"/>
              <w:bottom w:val="single" w:color="auto" w:sz="4" w:space="0"/>
              <w:right w:val="single" w:color="auto" w:sz="4" w:space="0"/>
            </w:tcBorders>
            <w:shd w:val="clear" w:color="auto" w:fill="auto"/>
            <w:noWrap/>
            <w:vAlign w:val="center"/>
          </w:tcPr>
          <w:p w14:paraId="139B8823">
            <w:pPr>
              <w:widowControl/>
              <w:jc w:val="center"/>
              <w:rPr>
                <w:rFonts w:hint="eastAsia" w:ascii="宋体" w:hAnsi="宋体"/>
                <w:color w:val="36363D"/>
                <w:kern w:val="0"/>
                <w:sz w:val="20"/>
                <w:szCs w:val="20"/>
              </w:rPr>
            </w:pPr>
            <w:r>
              <w:rPr>
                <w:rFonts w:hint="eastAsia" w:ascii="宋体" w:hAnsi="宋体"/>
                <w:color w:val="36363D"/>
                <w:kern w:val="0"/>
                <w:sz w:val="20"/>
                <w:szCs w:val="20"/>
              </w:rPr>
              <w:t>台车篮子</w:t>
            </w:r>
          </w:p>
        </w:tc>
        <w:tc>
          <w:tcPr>
            <w:tcW w:w="1080" w:type="dxa"/>
            <w:tcBorders>
              <w:top w:val="nil"/>
              <w:left w:val="nil"/>
              <w:bottom w:val="single" w:color="auto" w:sz="4" w:space="0"/>
              <w:right w:val="single" w:color="auto" w:sz="4" w:space="0"/>
            </w:tcBorders>
            <w:shd w:val="clear" w:color="auto" w:fill="auto"/>
            <w:noWrap/>
            <w:vAlign w:val="center"/>
          </w:tcPr>
          <w:p w14:paraId="52367115">
            <w:pPr>
              <w:widowControl/>
              <w:jc w:val="center"/>
              <w:rPr>
                <w:rFonts w:hint="eastAsia" w:ascii="宋体" w:hAnsi="宋体"/>
                <w:color w:val="36363D"/>
                <w:kern w:val="0"/>
                <w:sz w:val="20"/>
                <w:szCs w:val="20"/>
              </w:rPr>
            </w:pPr>
            <w:r>
              <w:rPr>
                <w:rFonts w:hint="eastAsia" w:ascii="宋体" w:hAnsi="宋体"/>
                <w:color w:val="36363D"/>
                <w:kern w:val="0"/>
                <w:sz w:val="20"/>
                <w:szCs w:val="20"/>
              </w:rPr>
              <w:t>个</w:t>
            </w:r>
          </w:p>
        </w:tc>
        <w:tc>
          <w:tcPr>
            <w:tcW w:w="1080" w:type="dxa"/>
            <w:tcBorders>
              <w:top w:val="nil"/>
              <w:left w:val="nil"/>
              <w:bottom w:val="single" w:color="auto" w:sz="4" w:space="0"/>
              <w:right w:val="single" w:color="auto" w:sz="4" w:space="0"/>
            </w:tcBorders>
            <w:shd w:val="clear" w:color="auto" w:fill="auto"/>
            <w:noWrap/>
            <w:vAlign w:val="center"/>
          </w:tcPr>
          <w:p w14:paraId="3919A0AF">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6A70FB7A">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FAE29A9">
            <w:pPr>
              <w:widowControl/>
              <w:jc w:val="center"/>
              <w:rPr>
                <w:rFonts w:hint="eastAsia" w:ascii="宋体" w:hAnsi="宋体"/>
                <w:b/>
                <w:bCs/>
                <w:color w:val="36363D"/>
                <w:kern w:val="0"/>
                <w:sz w:val="20"/>
                <w:szCs w:val="20"/>
              </w:rPr>
            </w:pPr>
            <w:r>
              <w:rPr>
                <w:rFonts w:hint="eastAsia" w:ascii="宋体" w:hAnsi="宋体"/>
                <w:b/>
                <w:bCs/>
                <w:color w:val="36363D"/>
                <w:kern w:val="0"/>
                <w:sz w:val="20"/>
                <w:szCs w:val="20"/>
              </w:rPr>
              <w:t>27</w:t>
            </w:r>
          </w:p>
        </w:tc>
        <w:tc>
          <w:tcPr>
            <w:tcW w:w="2940" w:type="dxa"/>
            <w:tcBorders>
              <w:top w:val="nil"/>
              <w:left w:val="nil"/>
              <w:bottom w:val="single" w:color="auto" w:sz="4" w:space="0"/>
              <w:right w:val="single" w:color="auto" w:sz="4" w:space="0"/>
            </w:tcBorders>
            <w:shd w:val="clear" w:color="auto" w:fill="auto"/>
            <w:noWrap/>
            <w:vAlign w:val="center"/>
          </w:tcPr>
          <w:p w14:paraId="2697ED55">
            <w:pPr>
              <w:widowControl/>
              <w:jc w:val="center"/>
              <w:rPr>
                <w:rFonts w:hint="default" w:ascii="宋体" w:hAnsi="宋体" w:eastAsia="宋体"/>
                <w:color w:val="36363D"/>
                <w:kern w:val="0"/>
                <w:sz w:val="20"/>
                <w:szCs w:val="20"/>
                <w:lang w:val="en-US" w:eastAsia="zh-CN"/>
              </w:rPr>
            </w:pPr>
            <w:r>
              <w:rPr>
                <w:rFonts w:hint="eastAsia" w:ascii="宋体" w:hAnsi="宋体"/>
                <w:color w:val="36363D"/>
                <w:kern w:val="0"/>
                <w:sz w:val="20"/>
                <w:szCs w:val="20"/>
                <w:lang w:val="en-US" w:eastAsia="zh-CN"/>
              </w:rPr>
              <w:t>图文输出设备</w:t>
            </w:r>
            <w:bookmarkStart w:id="0" w:name="_GoBack"/>
            <w:bookmarkEnd w:id="0"/>
          </w:p>
        </w:tc>
        <w:tc>
          <w:tcPr>
            <w:tcW w:w="1080" w:type="dxa"/>
            <w:tcBorders>
              <w:top w:val="nil"/>
              <w:left w:val="nil"/>
              <w:bottom w:val="single" w:color="auto" w:sz="4" w:space="0"/>
              <w:right w:val="single" w:color="auto" w:sz="4" w:space="0"/>
            </w:tcBorders>
            <w:shd w:val="clear" w:color="auto" w:fill="auto"/>
            <w:noWrap/>
            <w:vAlign w:val="center"/>
          </w:tcPr>
          <w:p w14:paraId="514FD56E">
            <w:pPr>
              <w:widowControl/>
              <w:jc w:val="center"/>
              <w:rPr>
                <w:rFonts w:hint="eastAsia" w:ascii="宋体" w:hAnsi="宋体"/>
                <w:color w:val="36363D"/>
                <w:kern w:val="0"/>
                <w:sz w:val="20"/>
                <w:szCs w:val="20"/>
              </w:rPr>
            </w:pPr>
            <w:r>
              <w:rPr>
                <w:rFonts w:hint="eastAsia" w:ascii="宋体" w:hAnsi="宋体"/>
                <w:color w:val="36363D"/>
                <w:kern w:val="0"/>
                <w:sz w:val="20"/>
                <w:szCs w:val="20"/>
              </w:rPr>
              <w:t>台</w:t>
            </w:r>
          </w:p>
        </w:tc>
        <w:tc>
          <w:tcPr>
            <w:tcW w:w="1080" w:type="dxa"/>
            <w:tcBorders>
              <w:top w:val="nil"/>
              <w:left w:val="nil"/>
              <w:bottom w:val="single" w:color="auto" w:sz="4" w:space="0"/>
              <w:right w:val="single" w:color="auto" w:sz="4" w:space="0"/>
            </w:tcBorders>
            <w:shd w:val="clear" w:color="auto" w:fill="auto"/>
            <w:noWrap/>
            <w:vAlign w:val="center"/>
          </w:tcPr>
          <w:p w14:paraId="48CABD55">
            <w:pPr>
              <w:widowControl/>
              <w:jc w:val="center"/>
              <w:rPr>
                <w:rFonts w:hint="eastAsia" w:ascii="宋体" w:hAnsi="宋体"/>
                <w:color w:val="36363D"/>
                <w:kern w:val="0"/>
                <w:sz w:val="20"/>
                <w:szCs w:val="20"/>
              </w:rPr>
            </w:pPr>
            <w:r>
              <w:rPr>
                <w:rFonts w:hint="eastAsia" w:ascii="宋体" w:hAnsi="宋体"/>
                <w:color w:val="36363D"/>
                <w:kern w:val="0"/>
                <w:sz w:val="20"/>
                <w:szCs w:val="20"/>
              </w:rPr>
              <w:t>1</w:t>
            </w:r>
          </w:p>
        </w:tc>
      </w:tr>
      <w:tr w14:paraId="64827136">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9A49468">
            <w:pPr>
              <w:widowControl/>
              <w:jc w:val="center"/>
              <w:rPr>
                <w:rFonts w:hint="eastAsia" w:ascii="宋体" w:hAnsi="宋体"/>
                <w:kern w:val="0"/>
                <w:sz w:val="22"/>
              </w:rPr>
            </w:pPr>
            <w:r>
              <w:rPr>
                <w:rFonts w:hint="eastAsia" w:ascii="宋体" w:hAnsi="宋体"/>
                <w:kern w:val="0"/>
                <w:sz w:val="22"/>
              </w:rPr>
              <w:t>28</w:t>
            </w:r>
          </w:p>
        </w:tc>
        <w:tc>
          <w:tcPr>
            <w:tcW w:w="2940" w:type="dxa"/>
            <w:tcBorders>
              <w:top w:val="nil"/>
              <w:left w:val="nil"/>
              <w:bottom w:val="single" w:color="auto" w:sz="4" w:space="0"/>
              <w:right w:val="single" w:color="auto" w:sz="4" w:space="0"/>
            </w:tcBorders>
            <w:shd w:val="clear" w:color="auto" w:fill="auto"/>
            <w:noWrap/>
            <w:vAlign w:val="center"/>
          </w:tcPr>
          <w:p w14:paraId="0B406427">
            <w:pPr>
              <w:widowControl/>
              <w:jc w:val="center"/>
              <w:rPr>
                <w:rFonts w:hint="eastAsia" w:ascii="宋体" w:hAnsi="宋体"/>
                <w:color w:val="36363D"/>
                <w:kern w:val="0"/>
                <w:sz w:val="20"/>
                <w:szCs w:val="20"/>
              </w:rPr>
            </w:pPr>
            <w:r>
              <w:rPr>
                <w:rFonts w:hint="eastAsia" w:ascii="宋体" w:hAnsi="宋体"/>
                <w:color w:val="36363D"/>
                <w:kern w:val="0"/>
                <w:sz w:val="20"/>
                <w:szCs w:val="20"/>
              </w:rPr>
              <w:t>家用生物刺激反馈仪</w:t>
            </w:r>
          </w:p>
        </w:tc>
        <w:tc>
          <w:tcPr>
            <w:tcW w:w="1080" w:type="dxa"/>
            <w:tcBorders>
              <w:top w:val="nil"/>
              <w:left w:val="nil"/>
              <w:bottom w:val="single" w:color="auto" w:sz="4" w:space="0"/>
              <w:right w:val="single" w:color="auto" w:sz="4" w:space="0"/>
            </w:tcBorders>
            <w:shd w:val="clear" w:color="auto" w:fill="auto"/>
            <w:noWrap/>
            <w:vAlign w:val="center"/>
          </w:tcPr>
          <w:p w14:paraId="0EAAA0F9">
            <w:pPr>
              <w:widowControl/>
              <w:jc w:val="center"/>
              <w:rPr>
                <w:rFonts w:hint="eastAsia" w:ascii="宋体" w:hAnsi="宋体"/>
                <w:kern w:val="0"/>
                <w:sz w:val="22"/>
              </w:rPr>
            </w:pPr>
            <w:r>
              <w:rPr>
                <w:rFonts w:hint="eastAsia" w:ascii="宋体" w:hAnsi="宋体"/>
                <w:kern w:val="0"/>
                <w:sz w:val="22"/>
              </w:rPr>
              <w:t>台</w:t>
            </w:r>
          </w:p>
        </w:tc>
        <w:tc>
          <w:tcPr>
            <w:tcW w:w="1080" w:type="dxa"/>
            <w:tcBorders>
              <w:top w:val="nil"/>
              <w:left w:val="nil"/>
              <w:bottom w:val="single" w:color="auto" w:sz="4" w:space="0"/>
              <w:right w:val="single" w:color="auto" w:sz="4" w:space="0"/>
            </w:tcBorders>
            <w:shd w:val="clear" w:color="auto" w:fill="auto"/>
            <w:noWrap/>
            <w:vAlign w:val="center"/>
          </w:tcPr>
          <w:p w14:paraId="411963D0">
            <w:pPr>
              <w:widowControl/>
              <w:jc w:val="center"/>
              <w:rPr>
                <w:rFonts w:hint="eastAsia" w:ascii="宋体" w:hAnsi="宋体"/>
                <w:kern w:val="0"/>
                <w:sz w:val="22"/>
              </w:rPr>
            </w:pPr>
            <w:r>
              <w:rPr>
                <w:rFonts w:ascii="宋体" w:hAnsi="宋体"/>
                <w:kern w:val="0"/>
                <w:sz w:val="22"/>
              </w:rPr>
              <w:t>3</w:t>
            </w:r>
          </w:p>
        </w:tc>
      </w:tr>
    </w:tbl>
    <w:p w14:paraId="2A2EA658">
      <w:pPr>
        <w:tabs>
          <w:tab w:val="left" w:pos="420"/>
        </w:tabs>
        <w:spacing w:line="360" w:lineRule="auto"/>
        <w:jc w:val="left"/>
        <w:rPr>
          <w:rFonts w:hint="eastAsia" w:ascii="宋体" w:hAnsi="宋体"/>
        </w:rPr>
      </w:pPr>
    </w:p>
    <w:p w14:paraId="6B323696">
      <w:pP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、服务要求</w:t>
      </w:r>
    </w:p>
    <w:p w14:paraId="3F12B1A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1.提供安装和调试服务，确保产品正确安装并能正常使用。</w:t>
      </w:r>
    </w:p>
    <w:p w14:paraId="4B3513B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2.提供操作培训，使科室工作人员能够熟练掌握产品的使用方法。</w:t>
      </w:r>
    </w:p>
    <w:p w14:paraId="4DC4411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3.提供≥3年的免费保修期，在此期间内非人为损坏由供应商负责免费维修或更换。</w:t>
      </w:r>
    </w:p>
    <w:p w14:paraId="4AA37A54">
      <w:pP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、商务要求</w:t>
      </w:r>
    </w:p>
    <w:p w14:paraId="0D5ED7F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1.时间要求:中标供应商应在接到送货通知后7天内完成设备的交付，并在15天内完成安装调试。</w:t>
      </w:r>
    </w:p>
    <w:p w14:paraId="567E02C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2.地点要求:交货地点院方指定地点。</w:t>
      </w:r>
    </w:p>
    <w:p w14:paraId="1D74BD0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3.财务要求:货到交货地点并经验收合格后，在货物验收合格和收到厂家开具的等额增值税普通发票等付款材料之日起30个工作日内向乙方支付100%货款。</w:t>
      </w:r>
    </w:p>
    <w:p w14:paraId="17AE2C8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4.包装与运输:设备需采用防震包装，确保运输过程中的安全。运输费用由供应商承担，运输途中的一切风险由供应商负责。</w:t>
      </w:r>
    </w:p>
    <w:p w14:paraId="7F7823DD">
      <w:pPr>
        <w:rPr>
          <w:rFonts w:hint="default"/>
          <w:lang w:val="en-US" w:eastAsia="zh-CN"/>
        </w:rPr>
      </w:pPr>
      <w:r>
        <w:rPr>
          <w:rFonts w:hint="eastAsia" w:ascii="宋体" w:hAnsi="宋体" w:eastAsia="宋体" w:cs="宋体"/>
          <w:sz w:val="24"/>
          <w:szCs w:val="24"/>
          <w:lang w:val="en-US" w:eastAsia="zh-CN"/>
        </w:rPr>
        <w:t>5.需遵守医院供应商管理规定（规定详见医院官网-采购公告置顶内容）</w:t>
      </w:r>
    </w:p>
    <w:p w14:paraId="4D0EAEBD">
      <w:pPr>
        <w:tabs>
          <w:tab w:val="left" w:pos="420"/>
        </w:tabs>
        <w:spacing w:line="360" w:lineRule="auto"/>
        <w:ind w:left="425"/>
        <w:jc w:val="left"/>
        <w:rPr>
          <w:rFonts w:hint="eastAsia"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lvl>
  </w:abstractNum>
  <w:abstractNum w:abstractNumId="1">
    <w:nsid w:val="00000002"/>
    <w:multiLevelType w:val="singleLevel"/>
    <w:tmpl w:val="00000002"/>
    <w:lvl w:ilvl="0" w:tentative="0">
      <w:start w:val="2"/>
      <w:numFmt w:val="decimal"/>
      <w:suff w:val="nothing"/>
      <w:lvlText w:val="%1．"/>
      <w:lvlJc w:val="left"/>
      <w:pPr>
        <w:tabs>
          <w:tab w:val="left" w:pos="0"/>
        </w:tabs>
        <w:ind w:left="0" w:firstLine="403"/>
      </w:pPr>
      <w:rPr>
        <w:rFonts w:hint="default"/>
        <w:b w:val="0"/>
        <w:bCs w:val="0"/>
      </w:rPr>
    </w:lvl>
  </w:abstractNum>
  <w:abstractNum w:abstractNumId="2">
    <w:nsid w:val="0053208E"/>
    <w:multiLevelType w:val="singleLevel"/>
    <w:tmpl w:val="0053208E"/>
    <w:lvl w:ilvl="0" w:tentative="0">
      <w:start w:val="14"/>
      <w:numFmt w:val="decimal"/>
      <w:lvlText w:val="%1."/>
      <w:lvlJc w:val="left"/>
      <w:pPr>
        <w:tabs>
          <w:tab w:val="left" w:pos="420"/>
        </w:tabs>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5E"/>
    <w:rsid w:val="00B40B07"/>
    <w:rsid w:val="00DE21D4"/>
    <w:rsid w:val="00E9525E"/>
    <w:rsid w:val="0A3B55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99"/>
    <w:rPr>
      <w:sz w:val="21"/>
      <w:szCs w:val="21"/>
    </w:rPr>
  </w:style>
  <w:style w:type="character" w:customStyle="1" w:styleId="9">
    <w:name w:val="页眉 字符"/>
    <w:basedOn w:val="7"/>
    <w:link w:val="5"/>
    <w:qFormat/>
    <w:uiPriority w:val="99"/>
    <w:rPr>
      <w:kern w:val="2"/>
      <w:sz w:val="18"/>
      <w:szCs w:val="18"/>
    </w:rPr>
  </w:style>
  <w:style w:type="character" w:customStyle="1" w:styleId="10">
    <w:name w:val="页脚 字符"/>
    <w:basedOn w:val="7"/>
    <w:link w:val="4"/>
    <w:qFormat/>
    <w:uiPriority w:val="99"/>
    <w:rPr>
      <w:kern w:val="2"/>
      <w:sz w:val="18"/>
      <w:szCs w:val="18"/>
    </w:rPr>
  </w:style>
  <w:style w:type="character" w:customStyle="1" w:styleId="11">
    <w:name w:val="批注文字 字符"/>
    <w:basedOn w:val="7"/>
    <w:link w:val="2"/>
    <w:qFormat/>
    <w:uiPriority w:val="99"/>
    <w:rPr>
      <w:kern w:val="2"/>
      <w:sz w:val="21"/>
      <w:szCs w:val="22"/>
    </w:rPr>
  </w:style>
  <w:style w:type="character" w:customStyle="1" w:styleId="12">
    <w:name w:val="批注框文本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WwW.EdaN.CoM.CN</Company>
  <Pages>4</Pages>
  <Words>1864</Words>
  <Characters>2006</Characters>
  <Lines>15</Lines>
  <Paragraphs>4</Paragraphs>
  <TotalTime>1</TotalTime>
  <ScaleCrop>false</ScaleCrop>
  <LinksUpToDate>false</LinksUpToDate>
  <CharactersWithSpaces>2022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2023-08-16T07:30:00Z</dcterms:created>
  <dc:creator>chenjian</dc:creator>
  <cp:lastModifiedBy>周乐菲</cp:lastModifiedBy>
  <dcterms:modified xsi:type="dcterms:W3CDTF">2025-08-01T02:22:29Z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8928E7BBB96E48FB9B65FF433A7B961B</vt:lpwstr>
  </property>
  <property fmtid="{D5CDD505-2E9C-101B-9397-08002B2CF9AE}" pid="4" name="KSOTemplateDocerSaveRecord">
    <vt:lpwstr>eyJoZGlkIjoiZTFiM2EyNGE3MjNjMjNhZDJjODg2M2NlYzc0MDIxZmUiLCJ1c2VySWQiOiIxNjU3NTQxMjg3In0=</vt:lpwstr>
  </property>
</Properties>
</file>