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ACC1B">
      <w:pPr>
        <w:jc w:val="center"/>
        <w:textAlignment w:val="baseline"/>
        <w:rPr>
          <w:rFonts w:hint="eastAsia"/>
          <w:b/>
          <w:bCs/>
          <w:sz w:val="32"/>
          <w:szCs w:val="32"/>
        </w:rPr>
      </w:pPr>
      <w:r>
        <w:rPr>
          <w:rFonts w:hint="eastAsia"/>
          <w:b/>
          <w:bCs/>
          <w:sz w:val="32"/>
          <w:szCs w:val="32"/>
        </w:rPr>
        <w:t>采购需求</w:t>
      </w:r>
    </w:p>
    <w:p w14:paraId="0C7569FF">
      <w:pPr>
        <w:jc w:val="left"/>
        <w:textAlignment w:val="baseline"/>
        <w:rPr>
          <w:rFonts w:hint="eastAsia" w:ascii="宋体" w:hAnsi="宋体" w:eastAsia="宋体" w:cs="宋体"/>
          <w:b/>
          <w:kern w:val="0"/>
          <w:sz w:val="28"/>
          <w:szCs w:val="24"/>
        </w:rPr>
      </w:pPr>
      <w:r>
        <w:rPr>
          <w:rFonts w:hint="eastAsia" w:ascii="宋体" w:hAnsi="宋体" w:eastAsia="宋体" w:cs="宋体"/>
          <w:b/>
          <w:kern w:val="0"/>
          <w:sz w:val="28"/>
          <w:szCs w:val="24"/>
        </w:rPr>
        <w:t>基本参数</w:t>
      </w:r>
    </w:p>
    <w:p w14:paraId="62D2A51B">
      <w:pPr>
        <w:numPr>
          <w:ilvl w:val="0"/>
          <w:numId w:val="1"/>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技术参数：</w:t>
      </w:r>
    </w:p>
    <w:p w14:paraId="761D350C">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1、具有单极纯切、混切1、混切2、混切3、电凝5种工作模式。</w:t>
      </w:r>
    </w:p>
    <w:p w14:paraId="0401E177">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2、功能及功率输出：阻抗500Ω时</w:t>
      </w:r>
    </w:p>
    <w:p w14:paraId="28FFDAC5">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纯切：</w:t>
      </w:r>
      <w:r>
        <w:rPr>
          <w:rFonts w:hint="eastAsia"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rPr>
        <w:t>99W</w:t>
      </w:r>
    </w:p>
    <w:p w14:paraId="3054601A">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混切1：</w:t>
      </w:r>
      <w:r>
        <w:rPr>
          <w:rFonts w:hint="eastAsia"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rPr>
        <w:t>99W</w:t>
      </w:r>
      <w:bookmarkStart w:id="0" w:name="_GoBack"/>
      <w:bookmarkEnd w:id="0"/>
    </w:p>
    <w:p w14:paraId="5BD22EA9">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混切2：</w:t>
      </w:r>
      <w:r>
        <w:rPr>
          <w:rFonts w:hint="eastAsia"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rPr>
        <w:t>99W</w:t>
      </w:r>
    </w:p>
    <w:p w14:paraId="177E23BB">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混切3：</w:t>
      </w:r>
      <w:r>
        <w:rPr>
          <w:rFonts w:hint="eastAsia"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rPr>
        <w:t>99W</w:t>
      </w:r>
    </w:p>
    <w:p w14:paraId="3A7B3DCB">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电凝：</w:t>
      </w:r>
      <w:r>
        <w:rPr>
          <w:rFonts w:hint="eastAsia"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rPr>
        <w:t>75W</w:t>
      </w:r>
    </w:p>
    <w:p w14:paraId="02FB94CB">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3、工作主频率：450 kHz</w:t>
      </w:r>
    </w:p>
    <w:p w14:paraId="308FDF09">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4、额定电压/频率：AC230V50/60Hz</w:t>
      </w:r>
    </w:p>
    <w:p w14:paraId="5C902FA4">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5、安全标准BF型，带除颤保护，I类输出</w:t>
      </w:r>
    </w:p>
    <w:p w14:paraId="0FE9F753">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6、整机原装进口，通过美国FDA认证，欧盟CE认证。</w:t>
      </w:r>
    </w:p>
    <w:p w14:paraId="1B579FBD">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7、输出功率调节采用了旋钮式调节，使输出功率连续可调。</w:t>
      </w:r>
    </w:p>
    <w:p w14:paraId="3EBB5484">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8、平稳准确的功率水平使电切除更顺畅、利落，热损害极小，为病理检测提供一流的组织学标本，且刀头不易损坏。</w:t>
      </w:r>
    </w:p>
    <w:p w14:paraId="53994ABE">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9、输出功率采用数字化LED液晶双屏显示，可分别显示电切、电凝功率设定值。</w:t>
      </w:r>
    </w:p>
    <w:p w14:paraId="128E9B52">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10、电刀笔触发：具有手控开关和脚控开关。</w:t>
      </w:r>
    </w:p>
    <w:p w14:paraId="6CA5F10F">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11、安全T型支架设计的电极可灵活调节切割深度，使切割更加精确。</w:t>
      </w:r>
    </w:p>
    <w:p w14:paraId="470808AC">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12、不同颜色的电极便于使用者区分，无需记忆电极的具体型号。</w:t>
      </w:r>
    </w:p>
    <w:p w14:paraId="0DAC4E35">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13、手术电极采用了耐用的钨丝材料,使用寿命长于一般手术电极。</w:t>
      </w:r>
    </w:p>
    <w:p w14:paraId="3EA4B184">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14、具有负极板安全自动监测、控制（自动监测异常关闭功率输出）和报警功能，并能声光报警提示，能有效防止仪器在异常情况下灼伤患者。</w:t>
      </w:r>
    </w:p>
    <w:p w14:paraId="6015DADC">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15、具有危险功率输出报警功能。</w:t>
      </w:r>
    </w:p>
    <w:p w14:paraId="12E6B8BE">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16. 具有切割/凝血同步进行报警功能。</w:t>
      </w:r>
    </w:p>
    <w:p w14:paraId="3FA14D17">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17、吸烟器与主机为一体，充分节省手术空间。</w:t>
      </w:r>
    </w:p>
    <w:p w14:paraId="00EBF89B">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18、功能齐全，便于携带，安全可靠，操作简单，门诊即可进行手术。</w:t>
      </w:r>
    </w:p>
    <w:p w14:paraId="26F1A642">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19、一体化的独特设计，主机和吸烟器能通过手控装置或脚踏板同步启动，使操作者手术时无须分心仪器的操作。</w:t>
      </w:r>
    </w:p>
    <w:p w14:paraId="01D99B16">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20、吸烟器多级过滤保障，且不容易吸入血水：</w:t>
      </w:r>
    </w:p>
    <w:p w14:paraId="4997F339">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流量：“低档位”＞70L/min，</w:t>
      </w:r>
    </w:p>
    <w:p w14:paraId="7D3D2DA9">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“高档位”＞100L/min</w:t>
      </w:r>
    </w:p>
    <w:p w14:paraId="7E0B77F1">
      <w:pPr>
        <w:numPr>
          <w:ilvl w:val="0"/>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效率（过滤）：＞99.999% （对于0.1微米颗粒）</w:t>
      </w:r>
    </w:p>
    <w:p w14:paraId="374C3BE5">
      <w:pPr>
        <w:numPr>
          <w:ilvl w:val="0"/>
          <w:numId w:val="0"/>
        </w:numPr>
        <w:spacing w:line="360" w:lineRule="auto"/>
        <w:jc w:val="left"/>
        <w:rPr>
          <w:rFonts w:hint="eastAsia" w:ascii="Times New Roman" w:hAnsi="Times New Roman" w:eastAsia="宋体" w:cs="Times New Roman"/>
          <w:color w:val="000000"/>
          <w:sz w:val="24"/>
          <w:szCs w:val="24"/>
          <w:highlight w:val="yellow"/>
        </w:rPr>
      </w:pPr>
      <w:r>
        <w:rPr>
          <w:rFonts w:hint="eastAsia" w:ascii="Times New Roman" w:hAnsi="Times New Roman" w:eastAsia="宋体" w:cs="Times New Roman"/>
          <w:color w:val="000000"/>
          <w:sz w:val="24"/>
          <w:szCs w:val="24"/>
          <w:highlight w:val="none"/>
        </w:rPr>
        <w:t>21、烟雾吸收的方式是连续式，且具有延迟的功能。</w:t>
      </w:r>
    </w:p>
    <w:p w14:paraId="09A47E8E">
      <w:pPr>
        <w:spacing w:line="360" w:lineRule="auto"/>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二、主要配置（单台）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1"/>
        <w:gridCol w:w="4115"/>
      </w:tblGrid>
      <w:tr w14:paraId="469E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45798232">
            <w:pPr>
              <w:jc w:val="left"/>
              <w:rPr>
                <w:rFonts w:ascii="华文宋体" w:hAnsi="华文宋体" w:eastAsia="华文宋体"/>
                <w:sz w:val="24"/>
                <w:szCs w:val="24"/>
              </w:rPr>
            </w:pPr>
            <w:r>
              <w:rPr>
                <w:rFonts w:ascii="华文宋体" w:hAnsi="华文宋体" w:eastAsia="华文宋体"/>
                <w:sz w:val="24"/>
                <w:szCs w:val="24"/>
              </w:rPr>
              <w:t>名称型号</w:t>
            </w:r>
          </w:p>
        </w:tc>
        <w:tc>
          <w:tcPr>
            <w:tcW w:w="4115" w:type="dxa"/>
            <w:shd w:val="clear" w:color="auto" w:fill="auto"/>
          </w:tcPr>
          <w:p w14:paraId="27AC58E9">
            <w:pPr>
              <w:jc w:val="center"/>
              <w:rPr>
                <w:rFonts w:ascii="华文宋体" w:hAnsi="华文宋体" w:eastAsia="华文宋体"/>
                <w:sz w:val="24"/>
                <w:szCs w:val="24"/>
              </w:rPr>
            </w:pPr>
            <w:r>
              <w:rPr>
                <w:rFonts w:ascii="华文宋体" w:hAnsi="华文宋体" w:eastAsia="华文宋体"/>
                <w:sz w:val="24"/>
                <w:szCs w:val="24"/>
              </w:rPr>
              <w:t>数量</w:t>
            </w:r>
          </w:p>
        </w:tc>
      </w:tr>
      <w:tr w14:paraId="7554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6A94885D">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主机</w:t>
            </w:r>
          </w:p>
        </w:tc>
        <w:tc>
          <w:tcPr>
            <w:tcW w:w="4115" w:type="dxa"/>
            <w:shd w:val="clear" w:color="auto" w:fill="auto"/>
          </w:tcPr>
          <w:p w14:paraId="6A6DD6AB">
            <w:pPr>
              <w:jc w:val="center"/>
              <w:rPr>
                <w:rFonts w:ascii="华文宋体" w:hAnsi="华文宋体" w:eastAsia="华文宋体"/>
                <w:color w:val="000000" w:themeColor="text1"/>
                <w:sz w:val="24"/>
                <w:szCs w:val="24"/>
                <w14:textFill>
                  <w14:solidFill>
                    <w14:schemeClr w14:val="tx1"/>
                  </w14:solidFill>
                </w14:textFill>
              </w:rPr>
            </w:pPr>
            <w:r>
              <w:rPr>
                <w:rFonts w:ascii="华文宋体" w:hAnsi="华文宋体" w:eastAsia="华文宋体"/>
                <w:color w:val="000000" w:themeColor="text1"/>
                <w:sz w:val="24"/>
                <w:szCs w:val="24"/>
                <w14:textFill>
                  <w14:solidFill>
                    <w14:schemeClr w14:val="tx1"/>
                  </w14:solidFill>
                </w14:textFill>
              </w:rPr>
              <w:t>1</w:t>
            </w:r>
          </w:p>
        </w:tc>
      </w:tr>
      <w:tr w14:paraId="6626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26E9F9F8">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电源线</w:t>
            </w:r>
          </w:p>
        </w:tc>
        <w:tc>
          <w:tcPr>
            <w:tcW w:w="4115" w:type="dxa"/>
            <w:shd w:val="clear" w:color="auto" w:fill="auto"/>
          </w:tcPr>
          <w:p w14:paraId="39095A03">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1</w:t>
            </w:r>
          </w:p>
        </w:tc>
      </w:tr>
      <w:tr w14:paraId="6747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31A6C465">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吸烟管</w:t>
            </w:r>
            <w:r>
              <w:rPr>
                <w:rFonts w:hint="eastAsia" w:ascii="华文宋体" w:hAnsi="华文宋体" w:eastAsia="华文宋体" w:cs="宋体"/>
                <w:color w:val="000000" w:themeColor="text1"/>
                <w:kern w:val="0"/>
                <w:sz w:val="24"/>
                <w:szCs w:val="24"/>
                <w14:textFill>
                  <w14:solidFill>
                    <w14:schemeClr w14:val="tx1"/>
                  </w14:solidFill>
                </w14:textFill>
              </w:rPr>
              <w:t xml:space="preserve"> </w:t>
            </w:r>
          </w:p>
        </w:tc>
        <w:tc>
          <w:tcPr>
            <w:tcW w:w="4115" w:type="dxa"/>
            <w:shd w:val="clear" w:color="auto" w:fill="auto"/>
          </w:tcPr>
          <w:p w14:paraId="58FF04B5">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1</w:t>
            </w:r>
          </w:p>
        </w:tc>
      </w:tr>
      <w:tr w14:paraId="0533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1725D39E">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 xml:space="preserve">窥器连接软管 </w:t>
            </w:r>
          </w:p>
        </w:tc>
        <w:tc>
          <w:tcPr>
            <w:tcW w:w="4115" w:type="dxa"/>
            <w:shd w:val="clear" w:color="auto" w:fill="auto"/>
          </w:tcPr>
          <w:p w14:paraId="7C5B37CA">
            <w:pPr>
              <w:jc w:val="center"/>
              <w:rPr>
                <w:rFonts w:ascii="华文宋体" w:hAnsi="华文宋体" w:eastAsia="华文宋体"/>
                <w:color w:val="000000" w:themeColor="text1"/>
                <w:sz w:val="24"/>
                <w:szCs w:val="24"/>
                <w14:textFill>
                  <w14:solidFill>
                    <w14:schemeClr w14:val="tx1"/>
                  </w14:solidFill>
                </w14:textFill>
              </w:rPr>
            </w:pPr>
            <w:r>
              <w:rPr>
                <w:rFonts w:ascii="华文宋体" w:hAnsi="华文宋体" w:eastAsia="华文宋体"/>
                <w:color w:val="000000" w:themeColor="text1"/>
                <w:sz w:val="24"/>
                <w:szCs w:val="24"/>
                <w14:textFill>
                  <w14:solidFill>
                    <w14:schemeClr w14:val="tx1"/>
                  </w14:solidFill>
                </w14:textFill>
              </w:rPr>
              <w:t>15</w:t>
            </w:r>
          </w:p>
        </w:tc>
      </w:tr>
      <w:tr w14:paraId="47B6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3A1F6863">
            <w:pPr>
              <w:widowControl/>
              <w:spacing w:before="100" w:beforeAutospacing="1" w:after="100" w:afterAutospacing="1"/>
              <w:jc w:val="left"/>
              <w:outlineLvl w:val="0"/>
              <w:rPr>
                <w:rFonts w:ascii="华文宋体" w:hAnsi="华文宋体" w:eastAsia="华文宋体"/>
                <w:color w:val="000000" w:themeColor="text1"/>
                <w:sz w:val="24"/>
                <w:szCs w:val="24"/>
                <w14:textFill>
                  <w14:solidFill>
                    <w14:schemeClr w14:val="tx1"/>
                  </w14:solidFill>
                </w14:textFill>
              </w:rPr>
            </w:pPr>
            <w:r>
              <w:rPr>
                <w:rFonts w:ascii="华文宋体" w:hAnsi="华文宋体" w:eastAsia="华文宋体"/>
                <w:color w:val="000000" w:themeColor="text1"/>
                <w:sz w:val="24"/>
                <w:szCs w:val="24"/>
                <w14:textFill>
                  <w14:solidFill>
                    <w14:schemeClr w14:val="tx1"/>
                  </w14:solidFill>
                </w14:textFill>
              </w:rPr>
              <w:t>一次性双钮手控开关刀笔</w:t>
            </w:r>
          </w:p>
        </w:tc>
        <w:tc>
          <w:tcPr>
            <w:tcW w:w="4115" w:type="dxa"/>
            <w:shd w:val="clear" w:color="auto" w:fill="auto"/>
          </w:tcPr>
          <w:p w14:paraId="7F001EBF">
            <w:pPr>
              <w:jc w:val="center"/>
              <w:rPr>
                <w:rFonts w:ascii="华文宋体" w:hAnsi="华文宋体" w:eastAsia="华文宋体"/>
                <w:color w:val="000000" w:themeColor="text1"/>
                <w:sz w:val="24"/>
                <w:szCs w:val="24"/>
                <w14:textFill>
                  <w14:solidFill>
                    <w14:schemeClr w14:val="tx1"/>
                  </w14:solidFill>
                </w14:textFill>
              </w:rPr>
            </w:pPr>
            <w:r>
              <w:rPr>
                <w:rFonts w:ascii="华文宋体" w:hAnsi="华文宋体" w:eastAsia="华文宋体"/>
                <w:color w:val="000000" w:themeColor="text1"/>
                <w:sz w:val="24"/>
                <w:szCs w:val="24"/>
                <w14:textFill>
                  <w14:solidFill>
                    <w14:schemeClr w14:val="tx1"/>
                  </w14:solidFill>
                </w14:textFill>
              </w:rPr>
              <w:t>5</w:t>
            </w:r>
          </w:p>
        </w:tc>
      </w:tr>
      <w:tr w14:paraId="0C2B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3B5D57A2">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电刀负极片</w:t>
            </w:r>
          </w:p>
        </w:tc>
        <w:tc>
          <w:tcPr>
            <w:tcW w:w="4115" w:type="dxa"/>
            <w:shd w:val="clear" w:color="auto" w:fill="auto"/>
          </w:tcPr>
          <w:p w14:paraId="6DCC126B">
            <w:pPr>
              <w:jc w:val="center"/>
              <w:rPr>
                <w:rFonts w:ascii="华文宋体" w:hAnsi="华文宋体" w:eastAsia="华文宋体"/>
                <w:color w:val="000000" w:themeColor="text1"/>
                <w:sz w:val="24"/>
                <w:szCs w:val="24"/>
                <w14:textFill>
                  <w14:solidFill>
                    <w14:schemeClr w14:val="tx1"/>
                  </w14:solidFill>
                </w14:textFill>
              </w:rPr>
            </w:pPr>
            <w:r>
              <w:rPr>
                <w:rFonts w:ascii="华文宋体" w:hAnsi="华文宋体" w:eastAsia="华文宋体"/>
                <w:color w:val="000000" w:themeColor="text1"/>
                <w:sz w:val="24"/>
                <w:szCs w:val="24"/>
                <w14:textFill>
                  <w14:solidFill>
                    <w14:schemeClr w14:val="tx1"/>
                  </w14:solidFill>
                </w14:textFill>
              </w:rPr>
              <w:t>10</w:t>
            </w:r>
          </w:p>
        </w:tc>
      </w:tr>
      <w:tr w14:paraId="6806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57A592AB">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环形电极</w:t>
            </w:r>
          </w:p>
        </w:tc>
        <w:tc>
          <w:tcPr>
            <w:tcW w:w="4115" w:type="dxa"/>
            <w:shd w:val="clear" w:color="auto" w:fill="auto"/>
          </w:tcPr>
          <w:p w14:paraId="30D78444">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2</w:t>
            </w:r>
          </w:p>
        </w:tc>
      </w:tr>
      <w:tr w14:paraId="56ED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5798C3F0">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环形电极</w:t>
            </w:r>
          </w:p>
        </w:tc>
        <w:tc>
          <w:tcPr>
            <w:tcW w:w="4115" w:type="dxa"/>
            <w:shd w:val="clear" w:color="auto" w:fill="auto"/>
          </w:tcPr>
          <w:p w14:paraId="172F7490">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3</w:t>
            </w:r>
          </w:p>
        </w:tc>
      </w:tr>
      <w:tr w14:paraId="7163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3D8157E9">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环形电极</w:t>
            </w:r>
          </w:p>
        </w:tc>
        <w:tc>
          <w:tcPr>
            <w:tcW w:w="4115" w:type="dxa"/>
            <w:shd w:val="clear" w:color="auto" w:fill="auto"/>
          </w:tcPr>
          <w:p w14:paraId="49CBC1F9">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3</w:t>
            </w:r>
          </w:p>
        </w:tc>
      </w:tr>
      <w:tr w14:paraId="6175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19202363">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球形电凝电极</w:t>
            </w:r>
          </w:p>
        </w:tc>
        <w:tc>
          <w:tcPr>
            <w:tcW w:w="4115" w:type="dxa"/>
            <w:shd w:val="clear" w:color="auto" w:fill="auto"/>
          </w:tcPr>
          <w:p w14:paraId="1E84459F">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2</w:t>
            </w:r>
          </w:p>
        </w:tc>
      </w:tr>
      <w:tr w14:paraId="1CDC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tcPr>
          <w:p w14:paraId="5192F2FB">
            <w:pPr>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球形电凝电极</w:t>
            </w:r>
          </w:p>
        </w:tc>
        <w:tc>
          <w:tcPr>
            <w:tcW w:w="4115" w:type="dxa"/>
            <w:shd w:val="clear" w:color="auto" w:fill="auto"/>
          </w:tcPr>
          <w:p w14:paraId="2B2B67DB">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2</w:t>
            </w:r>
          </w:p>
        </w:tc>
      </w:tr>
      <w:tr w14:paraId="5B4C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vAlign w:val="center"/>
          </w:tcPr>
          <w:p w14:paraId="634D63C7">
            <w:pPr>
              <w:widowControl/>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锥切电极</w:t>
            </w:r>
          </w:p>
        </w:tc>
        <w:tc>
          <w:tcPr>
            <w:tcW w:w="4115" w:type="dxa"/>
            <w:shd w:val="clear" w:color="auto" w:fill="auto"/>
          </w:tcPr>
          <w:p w14:paraId="06B0F81C">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1</w:t>
            </w:r>
          </w:p>
        </w:tc>
      </w:tr>
      <w:tr w14:paraId="5D3F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shd w:val="clear" w:color="auto" w:fill="auto"/>
            <w:vAlign w:val="center"/>
          </w:tcPr>
          <w:p w14:paraId="5BC07A14">
            <w:pPr>
              <w:widowControl/>
              <w:jc w:val="left"/>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锥切电极</w:t>
            </w:r>
          </w:p>
        </w:tc>
        <w:tc>
          <w:tcPr>
            <w:tcW w:w="4115" w:type="dxa"/>
            <w:shd w:val="clear" w:color="auto" w:fill="auto"/>
          </w:tcPr>
          <w:p w14:paraId="28296A44">
            <w:pPr>
              <w:jc w:val="center"/>
              <w:rPr>
                <w:rFonts w:ascii="华文宋体" w:hAnsi="华文宋体" w:eastAsia="华文宋体"/>
                <w:color w:val="000000" w:themeColor="text1"/>
                <w:sz w:val="24"/>
                <w:szCs w:val="24"/>
                <w14:textFill>
                  <w14:solidFill>
                    <w14:schemeClr w14:val="tx1"/>
                  </w14:solidFill>
                </w14:textFill>
              </w:rPr>
            </w:pPr>
            <w:r>
              <w:rPr>
                <w:rFonts w:hint="eastAsia" w:ascii="华文宋体" w:hAnsi="华文宋体" w:eastAsia="华文宋体"/>
                <w:color w:val="000000" w:themeColor="text1"/>
                <w:sz w:val="24"/>
                <w:szCs w:val="24"/>
                <w14:textFill>
                  <w14:solidFill>
                    <w14:schemeClr w14:val="tx1"/>
                  </w14:solidFill>
                </w14:textFill>
              </w:rPr>
              <w:t>1</w:t>
            </w:r>
          </w:p>
        </w:tc>
      </w:tr>
    </w:tbl>
    <w:p w14:paraId="42BC33A6">
      <w:pPr>
        <w:spacing w:line="360" w:lineRule="auto"/>
        <w:jc w:val="left"/>
        <w:rPr>
          <w:rFonts w:ascii="Times New Roman" w:hAnsi="Times New Roman" w:eastAsia="宋体" w:cs="Times New Roman"/>
          <w:color w:val="000000"/>
          <w:sz w:val="24"/>
          <w:szCs w:val="24"/>
        </w:rPr>
      </w:pPr>
    </w:p>
    <w:p w14:paraId="6B323696">
      <w:pPr>
        <w:spacing w:line="360" w:lineRule="auto"/>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服务要求</w:t>
      </w:r>
    </w:p>
    <w:p w14:paraId="006508E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1、提供详细的产品使用说明书和操作指南。</w:t>
      </w:r>
    </w:p>
    <w:p w14:paraId="3F12B1A0">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2、提供安装和调试服务，确保产品正确安装并能正常使用。</w:t>
      </w:r>
    </w:p>
    <w:p w14:paraId="4B3513B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3、提供操作培训，使科室工作人员能够熟练掌握产品的使用方法。</w:t>
      </w:r>
    </w:p>
    <w:p w14:paraId="4E41BAAE">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4、提供≥3年的免费保修期，在此期间内非人为损坏由供应商负责免费维修或更换。</w:t>
      </w:r>
    </w:p>
    <w:p w14:paraId="4DC44110">
      <w:pPr>
        <w:spacing w:line="360" w:lineRule="auto"/>
        <w:jc w:val="left"/>
        <w:rPr>
          <w:rFonts w:ascii="Times New Roman" w:hAnsi="Times New Roman" w:eastAsia="宋体" w:cs="Times New Roman"/>
          <w:b/>
          <w:bCs/>
          <w:color w:val="000000"/>
          <w:sz w:val="24"/>
          <w:szCs w:val="24"/>
        </w:rPr>
      </w:pPr>
    </w:p>
    <w:p w14:paraId="4AA37A5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商务要求</w:t>
      </w:r>
    </w:p>
    <w:p w14:paraId="0D5ED7F9">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1、时间要求:中标供应商应在接到送货通知后7天内完成设备的交付，并在15天内完成安装调试。</w:t>
      </w:r>
    </w:p>
    <w:p w14:paraId="567E02CE">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2、地点要求:交货地点院方指定地点。</w:t>
      </w:r>
    </w:p>
    <w:p w14:paraId="1D74BD0F">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3、财务要求:货到交货地点并经验收合格后，在货物验收合格和收到厂家开具的等额增值税普通发票等付款材料之日起30个工作日内向乙方支付100%货款。</w:t>
      </w:r>
    </w:p>
    <w:p w14:paraId="17AE2C8B">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4、包装与运输:设备需采用防震包装，确保运输过程中的安全。运输费用由供应商承担，运输途中的一切风险由供应商负责。</w:t>
      </w:r>
    </w:p>
    <w:p w14:paraId="5025608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需遵守医院供应商管理规定（规定详见医院官网-采购公告置顶内容）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103D5"/>
    <w:multiLevelType w:val="singleLevel"/>
    <w:tmpl w:val="704103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7"/>
    <w:rsid w:val="00003DD4"/>
    <w:rsid w:val="000B17F5"/>
    <w:rsid w:val="000B5DEB"/>
    <w:rsid w:val="000C52D1"/>
    <w:rsid w:val="00152AB5"/>
    <w:rsid w:val="00207C42"/>
    <w:rsid w:val="00231B97"/>
    <w:rsid w:val="002417C6"/>
    <w:rsid w:val="00286C75"/>
    <w:rsid w:val="0032433A"/>
    <w:rsid w:val="003C06AE"/>
    <w:rsid w:val="003F55EF"/>
    <w:rsid w:val="00477DA7"/>
    <w:rsid w:val="00496087"/>
    <w:rsid w:val="004D5157"/>
    <w:rsid w:val="00551518"/>
    <w:rsid w:val="00556195"/>
    <w:rsid w:val="005E2854"/>
    <w:rsid w:val="00602822"/>
    <w:rsid w:val="006272C4"/>
    <w:rsid w:val="00633201"/>
    <w:rsid w:val="00763AEC"/>
    <w:rsid w:val="00796F8F"/>
    <w:rsid w:val="008E214B"/>
    <w:rsid w:val="009B4AD8"/>
    <w:rsid w:val="00A93C9E"/>
    <w:rsid w:val="00B02507"/>
    <w:rsid w:val="00B46FAB"/>
    <w:rsid w:val="00BA5FFD"/>
    <w:rsid w:val="00BC4C60"/>
    <w:rsid w:val="00BD68DC"/>
    <w:rsid w:val="00BF1E8E"/>
    <w:rsid w:val="00C23E8C"/>
    <w:rsid w:val="00C61CCF"/>
    <w:rsid w:val="00CA55C2"/>
    <w:rsid w:val="00D05A3D"/>
    <w:rsid w:val="00D8666A"/>
    <w:rsid w:val="00DC4AC6"/>
    <w:rsid w:val="00DE16A5"/>
    <w:rsid w:val="00E53307"/>
    <w:rsid w:val="00EB09EF"/>
    <w:rsid w:val="00ED6EEA"/>
    <w:rsid w:val="00F1440E"/>
    <w:rsid w:val="00F80477"/>
    <w:rsid w:val="00FD151A"/>
    <w:rsid w:val="2E4F113F"/>
    <w:rsid w:val="67CB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szCs w:val="24"/>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1103</Words>
  <Characters>1260</Characters>
  <Lines>2</Lines>
  <Paragraphs>1</Paragraphs>
  <TotalTime>7</TotalTime>
  <ScaleCrop>false</ScaleCrop>
  <LinksUpToDate>false</LinksUpToDate>
  <CharactersWithSpaces>1269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2023-02-10T04:17:00Z</dcterms:created>
  <dc:creator>13580549141@163.com</dc:creator>
  <cp:lastModifiedBy>刘鹏飞</cp:lastModifiedBy>
  <cp:lastPrinted>2024-12-30T00:34:00Z</cp:lastPrinted>
  <dcterms:modified xsi:type="dcterms:W3CDTF">2025-07-29T07:01:41Z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eyJoZGlkIjoiOGVjMzFhNGE5ZDgzNWVmMjZiZjhmYWMwNjk0OTIxOTkiLCJ1c2VySWQiOiIxNjU3MTU4OTMzIn0=</vt:lpwstr>
  </property>
  <property fmtid="{D5CDD505-2E9C-101B-9397-08002B2CF9AE}" pid="3" name="KSOProductBuildVer">
    <vt:lpwstr>2052-12.1.0.21915</vt:lpwstr>
  </property>
  <property fmtid="{D5CDD505-2E9C-101B-9397-08002B2CF9AE}" pid="4" name="ICV">
    <vt:lpwstr>D2F2D0FC43694C06BE4153C1BCA0B912_13</vt:lpwstr>
  </property>
</Properties>
</file>