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7AD3">
      <w:pPr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包药机需求</w:t>
      </w:r>
    </w:p>
    <w:p w14:paraId="44ABD111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储存量：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20000盒，药品品种数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1300种</w:t>
      </w:r>
    </w:p>
    <w:p w14:paraId="286D7ABE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发药部分：发药机械手抓取模式或整盒快速落药模式，能发异形包装和瓶装药品。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2500盒（瓶）/小时，450处方/小时。具备实时发药功能和智能预配提醒功能，可提供8个以上的发药口，能同时处理8个以上的处方，发药口与发药窗口一一对应，处方处理互不影响。</w:t>
      </w:r>
    </w:p>
    <w:p w14:paraId="772509B1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补药部分：可实现无间歇快速自动批量补药，每小时能补充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2000盒药品。</w:t>
      </w:r>
    </w:p>
    <w:p w14:paraId="6C8A019B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质量监控：通过视频监控系统、电脑自动管理，实现真正效期管理，近效期药先发，先进先发。</w:t>
      </w:r>
    </w:p>
    <w:p w14:paraId="4C3C2A1C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通过条码、二维麻扫描，记录每一盒（瓶）药品的信息，在调配时实时与处方信息进行绑定，实现药品的使用的追溯。</w:t>
      </w:r>
    </w:p>
    <w:p w14:paraId="694F71E6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药品管理：药品从进、存、发全程监控管理。可按需生成各类管理报表，包括但不限于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发药机药品近效期报表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发药机空轨道报表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发药机效能分析报表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发药机配药台追溯码数据报表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每月发药机需上下架品种报表</w:t>
      </w:r>
      <w:bookmarkStart w:id="0" w:name="_GoBack"/>
      <w:bookmarkEnd w:id="0"/>
      <w:r>
        <w:rPr>
          <w:rFonts w:hint="eastAsia" w:ascii="宋体" w:hAnsi="宋体" w:cs="仿宋_GB2312"/>
          <w:b/>
          <w:color w:val="auto"/>
          <w:kern w:val="0"/>
          <w:sz w:val="28"/>
          <w:szCs w:val="28"/>
          <w:lang w:val="en-US" w:eastAsia="zh-CN"/>
        </w:rPr>
        <w:t>等。</w:t>
      </w:r>
    </w:p>
    <w:p w14:paraId="795B0634">
      <w:pPr>
        <w:widowControl/>
        <w:numPr>
          <w:ilvl w:val="1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配套：</w:t>
      </w:r>
    </w:p>
    <w:p w14:paraId="03756B2E">
      <w:pPr>
        <w:widowControl/>
        <w:numPr>
          <w:ilvl w:val="2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管理系统；</w:t>
      </w:r>
    </w:p>
    <w:p w14:paraId="205779B1">
      <w:pPr>
        <w:widowControl/>
        <w:numPr>
          <w:ilvl w:val="2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全部配件：包括但不限于轨道、传送带等；</w:t>
      </w:r>
    </w:p>
    <w:p w14:paraId="3CED9C57">
      <w:pPr>
        <w:widowControl/>
        <w:numPr>
          <w:ilvl w:val="2"/>
          <w:numId w:val="1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宋体" w:hAnsi="宋体" w:cs="仿宋_GB2312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仿宋_GB2312"/>
          <w:b/>
          <w:color w:val="auto"/>
          <w:kern w:val="0"/>
          <w:sz w:val="28"/>
          <w:szCs w:val="28"/>
        </w:rPr>
        <w:t>智能药筐系统：自动发药筐并与处方绑定，通过患者信息、处方信息联动药筐，以声、光等形式进行提示，发药后自动解绑。</w:t>
      </w:r>
    </w:p>
    <w:p w14:paraId="6EFDB880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303D4"/>
    <w:multiLevelType w:val="multilevel"/>
    <w:tmpl w:val="47F303D4"/>
    <w:lvl w:ilvl="0" w:tentative="0">
      <w:start w:val="3"/>
      <w:numFmt w:val="chineseCounting"/>
      <w:suff w:val="nothing"/>
      <w:lvlText w:val="%1、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suff w:val="nothing"/>
      <w:lvlText w:val="%4"/>
      <w:lvlJc w:val="left"/>
    </w:lvl>
    <w:lvl w:ilvl="4" w:tentative="0">
      <w:start w:val="1"/>
      <w:numFmt w:val="decimal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313F7"/>
    <w:rsid w:val="086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2026-06-01T07:35:00Z</dcterms:created>
  <dc:creator>Zhou</dc:creator>
  <cp:lastModifiedBy>Zhou</cp:lastModifiedBy>
  <dcterms:modified xsi:type="dcterms:W3CDTF">2026-06-01T07:37:19Z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1CAF0A492AF94A2B8BFA450CBB0CCD88_11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