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63C" w:rsidRPr="00BD063C" w:rsidRDefault="00BD063C" w:rsidP="00BD063C">
      <w:pPr>
        <w:pStyle w:val="a4"/>
        <w:numPr>
          <w:ilvl w:val="0"/>
          <w:numId w:val="2"/>
        </w:numPr>
        <w:ind w:firstLineChars="0"/>
        <w:rPr>
          <w:rFonts w:asciiTheme="majorEastAsia" w:eastAsiaTheme="majorEastAsia" w:hAnsiTheme="majorEastAsia"/>
          <w:b/>
        </w:rPr>
      </w:pPr>
      <w:r w:rsidRPr="00BD063C">
        <w:rPr>
          <w:rFonts w:asciiTheme="majorEastAsia" w:eastAsiaTheme="majorEastAsia" w:hAnsiTheme="majorEastAsia" w:hint="eastAsia"/>
          <w:b/>
        </w:rPr>
        <w:t>技术参数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检测器寿命：5年，无检测次数/人次限值，无需定期更换。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检测器标准：①根据《罗马共识：胃肠道疾病氢呼气试验的方法和指征》，固定式，数据稳定、可靠；气相色谱，代表甲烷和氢气呼气试验设备的“金标准”，用于ppm（百万分率）的分子分析。②根据《气体中微量氢的测定气相色谱方法（GB/T 8981-2008）》、《惰性气体中微量氢、氧、甲烷…的测定气相色谱法（GB/T 28124-2011）》、《气体分析惰性气体中微量氢、氧、甲烷...气相色谱法（GB/T 28124-2025）》，气相色谱是标准方法，并可用于医学领域。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检测器安全：根据《国家安全监管总局关于公布首批重点监管的危险化学品名录的通知》（安监总管三〔2011〕95 号）、《危险化学品安全管理条例》（国务院令第344号）、《危险化学品重大危险源辨识（GB 18218-2018）》、《氢气使用安全技术规程（GB 4962-2008）》、《纯氢、高纯氢和超纯氢（GB/T 3634.2-2011）》、《纯氮、高纯氮和超纯氮（GB/T8979-2008）》等，产品说明书和操作使用手册中不含热导检测器、</w:t>
      </w:r>
      <w:proofErr w:type="gramStart"/>
      <w:r w:rsidRPr="00BD063C">
        <w:rPr>
          <w:rFonts w:asciiTheme="majorEastAsia" w:eastAsiaTheme="majorEastAsia" w:hAnsiTheme="majorEastAsia" w:hint="eastAsia"/>
        </w:rPr>
        <w:t>氢焰检测器</w:t>
      </w:r>
      <w:proofErr w:type="gramEnd"/>
      <w:r w:rsidRPr="00BD063C">
        <w:rPr>
          <w:rFonts w:asciiTheme="majorEastAsia" w:eastAsiaTheme="majorEastAsia" w:hAnsiTheme="majorEastAsia" w:hint="eastAsia"/>
        </w:rPr>
        <w:t>、氢气气源（高压钢瓶或发生器形式的≥99.999%高纯氢气）、氮气气源（高压钢瓶或发生器形式的≥99.999%高纯氮气）、纯氢氧化钾等易燃、易爆、易窒息、强腐蚀的组件或辅助设备。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检测参数：</w:t>
      </w:r>
      <w:r>
        <w:rPr>
          <w:rFonts w:asciiTheme="majorEastAsia" w:eastAsiaTheme="majorEastAsia" w:hAnsiTheme="majorEastAsia" w:hint="eastAsia"/>
        </w:rPr>
        <w:t>至少可检测</w:t>
      </w:r>
      <w:r w:rsidRPr="00BD063C">
        <w:rPr>
          <w:rFonts w:asciiTheme="majorEastAsia" w:eastAsiaTheme="majorEastAsia" w:hAnsiTheme="majorEastAsia" w:hint="eastAsia"/>
        </w:rPr>
        <w:t>氢气（H2）和甲烷（CH4），无需额外购置对应参数的检测器/检测单元/检测模块。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分辨率：氢气（H2）1ppm和甲烷（CH4）1ppm。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测量范围：氢气（H2）0～500ppm和甲烷（CH4）0～500ppm。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准确度（线性范围内）：氢气（H2）±2～3ppm或±线性满量程×5%和甲烷（CH4）±2～3ppm或±线性满量程×5%。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重复性（相对标准偏差）：氢气（H2）5%和甲烷（CH4）5%。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校正参数：非13碳/14碳标记的二氧化碳（CO2），用于修正检测参数。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分辨率：非13碳/14碳标记的二氧化碳（CO2）0.1%。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测量范围：非13碳/14碳标记的二氧化碳（CO2）0～6%。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准确度（线性范围内）：非13碳/14碳标记的二氧化碳（CO2）±1%。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重复性（相对标准偏差）：非13碳/14碳标记的二氧化碳（CO2）1%。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采样方式：体检、临检在线采样，和居家离线采样。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进样方式：自动和手动进样。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分析方式：自动分析、上传和打印。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自检方式：开机自检，自动和手动强化清扫。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校准方式：标准气体校准、环境空气本底校准和多点校准。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流量装置：内置流量控制装置。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除尘装置：内置双重除尘装置。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温控装置：内置温度控制装置。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除湿装置：配置前后干燥装置。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操作界面：全彩、触摸控制屏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数据软件：专用、原版适配软件，支持个性化软件定制。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数据管理：具备查询、备份、恢复等完整数据管理功能。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数据通信：支持个性化数据传输协议，用于医院信息系统通信。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适用范围：全人群适用，口鼻面罩和采气袋适用于婴幼儿、老年人，咬嘴和采气袋适用于成人。</w:t>
      </w:r>
    </w:p>
    <w:p w:rsidR="00BD063C" w:rsidRPr="00BD063C" w:rsidRDefault="00BD063C" w:rsidP="00BD063C">
      <w:pPr>
        <w:pStyle w:val="a4"/>
        <w:numPr>
          <w:ilvl w:val="0"/>
          <w:numId w:val="1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气样标准：根据《产品技术要求》，离线气样漏气率达万分之一以下、可保存15天。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</w:p>
    <w:p w:rsidR="00BD063C" w:rsidRPr="00BD063C" w:rsidRDefault="00BD063C" w:rsidP="00BD063C">
      <w:pPr>
        <w:rPr>
          <w:rFonts w:asciiTheme="majorEastAsia" w:eastAsiaTheme="majorEastAsia" w:hAnsiTheme="majorEastAsia"/>
          <w:b/>
        </w:rPr>
      </w:pPr>
      <w:r w:rsidRPr="00BD063C">
        <w:rPr>
          <w:rFonts w:asciiTheme="majorEastAsia" w:eastAsiaTheme="majorEastAsia" w:hAnsiTheme="majorEastAsia" w:hint="eastAsia"/>
          <w:b/>
        </w:rPr>
        <w:t>二、配置清单：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仪器主机1台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仪器主机电源线1条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呼出气</w:t>
      </w:r>
      <w:proofErr w:type="gramStart"/>
      <w:r w:rsidRPr="00BD063C">
        <w:rPr>
          <w:rFonts w:asciiTheme="majorEastAsia" w:eastAsiaTheme="majorEastAsia" w:hAnsiTheme="majorEastAsia" w:hint="eastAsia"/>
        </w:rPr>
        <w:t>体分析仪使用</w:t>
      </w:r>
      <w:proofErr w:type="gramEnd"/>
      <w:r w:rsidRPr="00BD063C">
        <w:rPr>
          <w:rFonts w:asciiTheme="majorEastAsia" w:eastAsiaTheme="majorEastAsia" w:hAnsiTheme="majorEastAsia" w:hint="eastAsia"/>
        </w:rPr>
        <w:t xml:space="preserve">说明书1本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自动进样器1台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lastRenderedPageBreak/>
        <w:t xml:space="preserve">自动进样器电源线1条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样品进样口</w:t>
      </w:r>
      <w:proofErr w:type="gramStart"/>
      <w:r w:rsidRPr="00BD063C">
        <w:rPr>
          <w:rFonts w:asciiTheme="majorEastAsia" w:eastAsiaTheme="majorEastAsia" w:hAnsiTheme="majorEastAsia" w:hint="eastAsia"/>
        </w:rPr>
        <w:t>连接长</w:t>
      </w:r>
      <w:proofErr w:type="gramEnd"/>
      <w:r w:rsidRPr="00BD063C">
        <w:rPr>
          <w:rFonts w:asciiTheme="majorEastAsia" w:eastAsiaTheme="majorEastAsia" w:hAnsiTheme="majorEastAsia" w:hint="eastAsia"/>
        </w:rPr>
        <w:t xml:space="preserve">软管1根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样品进样口前端短软管1根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自动进样器使用说明书1本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通信连接线2条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前置干燥管1个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前置变色干燥剂1瓶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后置干燥罐（含后置变色干燥剂）1罐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后置干燥罐连接软管1根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高浓度标准气瓶1瓶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低浓度标准气瓶1瓶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输送阀2个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注射器1个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鲁尔阀1个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读卡器1台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漏斗1个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镊子1个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海绵4个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软件光盘1张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合格证1张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保修卡1张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 xml:space="preserve">检测指南1张 </w:t>
      </w:r>
    </w:p>
    <w:p w:rsidR="00BD063C" w:rsidRPr="00BD063C" w:rsidRDefault="00BD063C" w:rsidP="00BD063C">
      <w:pPr>
        <w:pStyle w:val="a4"/>
        <w:numPr>
          <w:ilvl w:val="0"/>
          <w:numId w:val="3"/>
        </w:numPr>
        <w:ind w:firstLineChars="0"/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工具文件包1个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三、服务要求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1、具有医疗器械注册证或备案凭证。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2、提供详细的产品使用说明书和操作指南。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3、提供安装和调试服务，确保产品正确安装并能正常使用。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4、提供操作培训，使科室工作人员能够熟练掌握产品的使用方法。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5、提供≥3年的免费保修期，在此期间内非人为损坏由供应商负责免费维修或更换。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四、商务要求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1、时间要求：中标供应商应在接到送货通知后7天内完成设备的交付，并在15天内完成安装调试。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2、地点要求：交货地点院方指定地点。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3、财务要求：货到交货地点并经验收合格后，在货物验收合格和收到厂家开具的等额增值税普通发票等付款材料</w:t>
      </w:r>
      <w:r w:rsidR="00A16AFC">
        <w:rPr>
          <w:rFonts w:asciiTheme="majorEastAsia" w:eastAsiaTheme="majorEastAsia" w:hAnsiTheme="majorEastAsia" w:hint="eastAsia"/>
        </w:rPr>
        <w:t>后</w:t>
      </w:r>
      <w:bookmarkStart w:id="0" w:name="_GoBack"/>
      <w:bookmarkEnd w:id="0"/>
      <w:r w:rsidRPr="00BD063C">
        <w:rPr>
          <w:rFonts w:asciiTheme="majorEastAsia" w:eastAsiaTheme="majorEastAsia" w:hAnsiTheme="majorEastAsia" w:hint="eastAsia"/>
        </w:rPr>
        <w:t>向乙方支付100%货款。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4、所有款项均通过银行转账方式支付。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5、包装与运输：设备需采用防震包装，确保运输过程中的安全。运输费用由供应商承担，运输途中的一切风险由供应商负责。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  <w:r w:rsidRPr="00BD063C">
        <w:rPr>
          <w:rFonts w:asciiTheme="majorEastAsia" w:eastAsiaTheme="majorEastAsia" w:hAnsiTheme="majorEastAsia" w:hint="eastAsia"/>
        </w:rPr>
        <w:t>6、需遵守医院供应</w:t>
      </w:r>
      <w:proofErr w:type="gramStart"/>
      <w:r w:rsidRPr="00BD063C">
        <w:rPr>
          <w:rFonts w:asciiTheme="majorEastAsia" w:eastAsiaTheme="majorEastAsia" w:hAnsiTheme="majorEastAsia" w:hint="eastAsia"/>
        </w:rPr>
        <w:t>商管理</w:t>
      </w:r>
      <w:proofErr w:type="gramEnd"/>
      <w:r w:rsidRPr="00BD063C">
        <w:rPr>
          <w:rFonts w:asciiTheme="majorEastAsia" w:eastAsiaTheme="majorEastAsia" w:hAnsiTheme="majorEastAsia" w:hint="eastAsia"/>
        </w:rPr>
        <w:t>规定（规定详见</w:t>
      </w:r>
      <w:proofErr w:type="gramStart"/>
      <w:r w:rsidRPr="00BD063C">
        <w:rPr>
          <w:rFonts w:asciiTheme="majorEastAsia" w:eastAsiaTheme="majorEastAsia" w:hAnsiTheme="majorEastAsia" w:hint="eastAsia"/>
        </w:rPr>
        <w:t>医院官网</w:t>
      </w:r>
      <w:proofErr w:type="gramEnd"/>
      <w:r w:rsidRPr="00BD063C">
        <w:rPr>
          <w:rFonts w:asciiTheme="majorEastAsia" w:eastAsiaTheme="majorEastAsia" w:hAnsiTheme="majorEastAsia" w:hint="eastAsia"/>
        </w:rPr>
        <w:t xml:space="preserve">-采购公告置顶内容）。  </w:t>
      </w:r>
    </w:p>
    <w:p w:rsidR="00BD063C" w:rsidRPr="00BD063C" w:rsidRDefault="00BD063C" w:rsidP="00BD063C">
      <w:pPr>
        <w:rPr>
          <w:rFonts w:asciiTheme="majorEastAsia" w:eastAsiaTheme="majorEastAsia" w:hAnsiTheme="majorEastAsia"/>
        </w:rPr>
      </w:pPr>
    </w:p>
    <w:p w:rsidR="00B14D7D" w:rsidRPr="00BD063C" w:rsidRDefault="00B14D7D" w:rsidP="00BD063C">
      <w:pPr>
        <w:rPr>
          <w:rFonts w:asciiTheme="majorEastAsia" w:eastAsiaTheme="majorEastAsia" w:hAnsiTheme="majorEastAsia"/>
        </w:rPr>
      </w:pPr>
    </w:p>
    <w:sectPr w:rsidR="00B14D7D" w:rsidRPr="00BD063C" w:rsidSect="00BD063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50CB0"/>
    <w:multiLevelType w:val="hybridMultilevel"/>
    <w:tmpl w:val="18F85CAE"/>
    <w:lvl w:ilvl="0" w:tplc="FCC48B74">
      <w:start w:val="1"/>
      <w:numFmt w:val="decimal"/>
      <w:lvlText w:val="%1、"/>
      <w:lvlJc w:val="left"/>
      <w:pPr>
        <w:ind w:left="420" w:hanging="420"/>
      </w:pPr>
      <w:rPr>
        <w:rFonts w:ascii="Times New Roman" w:eastAsia="宋体" w:hAnsi="Times New Roman" w:hint="default"/>
      </w:rPr>
    </w:lvl>
    <w:lvl w:ilvl="1" w:tplc="422AC0C8">
      <w:numFmt w:val="bullet"/>
      <w:lvlText w:val="▲"/>
      <w:lvlJc w:val="left"/>
      <w:pPr>
        <w:ind w:left="780" w:hanging="360"/>
      </w:pPr>
      <w:rPr>
        <w:rFonts w:ascii="宋体" w:eastAsia="宋体" w:hAnsi="宋体" w:cs="Arial" w:hint="eastAsia"/>
      </w:rPr>
    </w:lvl>
    <w:lvl w:ilvl="2" w:tplc="8E246CAE">
      <w:numFmt w:val="bullet"/>
      <w:lvlText w:val="★"/>
      <w:lvlJc w:val="left"/>
      <w:pPr>
        <w:ind w:left="1200" w:hanging="360"/>
      </w:pPr>
      <w:rPr>
        <w:rFonts w:ascii="宋体" w:eastAsia="宋体" w:hAnsi="宋体" w:cs="Arial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861EC7"/>
    <w:multiLevelType w:val="hybridMultilevel"/>
    <w:tmpl w:val="E3C81A72"/>
    <w:lvl w:ilvl="0" w:tplc="E550BB5A">
      <w:start w:val="1"/>
      <w:numFmt w:val="japaneseCounting"/>
      <w:lvlText w:val="%1、"/>
      <w:lvlJc w:val="left"/>
      <w:pPr>
        <w:ind w:left="436" w:hanging="436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5CC637E"/>
    <w:multiLevelType w:val="hybridMultilevel"/>
    <w:tmpl w:val="51CC8884"/>
    <w:lvl w:ilvl="0" w:tplc="FCC48B74">
      <w:start w:val="1"/>
      <w:numFmt w:val="decimal"/>
      <w:lvlText w:val="%1、"/>
      <w:lvlJc w:val="left"/>
      <w:pPr>
        <w:ind w:left="420" w:hanging="420"/>
      </w:pPr>
      <w:rPr>
        <w:rFonts w:ascii="Times New Roman" w:eastAsia="宋体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D7D"/>
    <w:rsid w:val="00A16AFC"/>
    <w:rsid w:val="00B14D7D"/>
    <w:rsid w:val="00BD0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F46364-5CFB-4CE7-B38F-412F4922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Arial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4">
    <w:name w:val="List Paragraph"/>
    <w:basedOn w:val="a"/>
    <w:uiPriority w:val="34"/>
    <w:qFormat/>
    <w:rsid w:val="00BD063C"/>
    <w:pPr>
      <w:ind w:firstLineChars="200" w:firstLine="420"/>
    </w:pPr>
  </w:style>
  <w:style w:type="paragraph" w:styleId="a5">
    <w:name w:val="Balloon Text"/>
    <w:basedOn w:val="a"/>
    <w:link w:val="a6"/>
    <w:uiPriority w:val="99"/>
    <w:semiHidden/>
    <w:unhideWhenUsed/>
    <w:rsid w:val="00BD063C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BD06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293</Words>
  <Characters>1675</Characters>
  <Application>Microsoft Office Word</Application>
  <DocSecurity>0</DocSecurity>
  <Lines>13</Lines>
  <Paragraphs>3</Paragraphs>
  <ScaleCrop>false</ScaleCrop>
  <Company>微软中国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24018RPACC</dc:creator>
  <cp:lastModifiedBy>刘翠</cp:lastModifiedBy>
  <cp:revision>5</cp:revision>
  <cp:lastPrinted>2026-09-17T04:03:00Z</cp:lastPrinted>
  <dcterms:created xsi:type="dcterms:W3CDTF">2026-09-10T04:15:00Z</dcterms:created>
  <dcterms:modified xsi:type="dcterms:W3CDTF">2026-09-17T04:03:00Z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671a335ee2ad4aa4b7b2f7e177e719d8_23</vt:lpwstr>
  </property>
</Properties>
</file>