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40A47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 w:ascii="宋体" w:hAnsi="宋体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2"/>
          <w:szCs w:val="32"/>
          <w:lang w:val="en-US" w:eastAsia="zh-CN"/>
        </w:rPr>
        <w:t>嗓音分析系统</w:t>
      </w:r>
    </w:p>
    <w:p w14:paraId="65EF49F4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一、采购需求</w:t>
      </w:r>
    </w:p>
    <w:p w14:paraId="238EE892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1、提供基于电声门信号(非声学信号)的基频微扰、振幅微扰、基频等声音质量参数的评估，提供声带电阻变化和声音分析的对比，提供闭合性、规律性的统计对比，开商、闭商等常规电声门参数的评估。</w:t>
      </w:r>
    </w:p>
    <w:p w14:paraId="71017483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</w:pPr>
      <w:r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嗓音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导入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，记录比较，编辑，剪切，黏贴，删除功能，病人数据库管理，打印功能，抓屏功能 （用于文本编辑的位图，剪贴版）客户和数据库备份功能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。</w:t>
      </w:r>
    </w:p>
    <w:p w14:paraId="3C1F0C6E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default" w:ascii="宋体" w:hAnsi="宋体" w:eastAsia="宋体" w:cs="宋体"/>
          <w:bCs/>
          <w:kern w:val="0"/>
          <w:sz w:val="24"/>
          <w:szCs w:val="24"/>
          <w:lang w:val="en-US"/>
        </w:rPr>
        <w:t>3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嗓音障碍指数VHI-12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量表统计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（定量显示）；将主观嗓音评估的定量表格纳入软件系统，通过软件系统用专门的模板，生成专门的报告，具备专门的病人归档管理，为临床提供方便。</w:t>
      </w:r>
    </w:p>
    <w:p w14:paraId="7FBD17A1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bCs/>
          <w:kern w:val="0"/>
          <w:sz w:val="24"/>
          <w:szCs w:val="24"/>
        </w:rPr>
        <w:t>▲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/>
        </w:rPr>
        <w:t>4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嗓音质量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统计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（定量显示）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通过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导入收集声音数据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，从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中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得到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的基频、振幅等参数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统</w:t>
      </w:r>
      <w:bookmarkEnd w:id="0"/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计分析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通过业内常用量表统计发声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气息音、不规则度、总体严重程度的指数，并将这些数值和限值用不同的颜色区分严重程度。</w:t>
      </w:r>
    </w:p>
    <w:p w14:paraId="0E9AC4DD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▲5、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动力语言障碍评估就是构音障碍评估，通过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对收集的声音统计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每秒发生字节数量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口腔前、中、后发生打开系数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并得到提供统计结果数据。</w:t>
      </w:r>
    </w:p>
    <w:p w14:paraId="2DDFBCE0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生物反馈训练功能：声强，频率，协同发音训练，实时声谱图，专业实时声谱图（共振峰追踪）；对单独的发音要素（如音高，音调，起始音等）进行专门的具有生物反馈的训练，无需医生陪同病人可以判断正确与否的标准化练习，节约医生时间提高效率。</w:t>
      </w:r>
    </w:p>
    <w:p w14:paraId="5B7FF6D5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音域图功能模块提供常规的音域测量，同时把嗓音质量检查模块整合到音域图中，用不绿、黄、红来区分病人嗓音质量，实现精细化的艺术嗓音评估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。</w:t>
      </w:r>
    </w:p>
    <w:p w14:paraId="21E38AD8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嗓音质量测量比较图，将多次嗓音质量测量评估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报告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的结果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合并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同一张报告中显示，并进行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统计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对比图。</w:t>
      </w:r>
    </w:p>
    <w:p w14:paraId="0E00B0BC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cs="宋体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患者自我评估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统计量表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，通过患者在软件中勾选测试，得到患者嗓音情感、生理、功能部分的占比，帮助临床指定治疗方案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。</w:t>
      </w:r>
    </w:p>
    <w:p w14:paraId="62DC73D4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/>
        </w:rPr>
        <w:t>DSI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发生障碍严重程度指数计算，通过输入最长发生时间、基频微扰、最低响度及最高音调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，通过计算得到相应数值。可通过统计数据，将导入的声音对强度及频率的统计，实现音域范围，通过软件自动处理生成不同的颜色，统计音域质量。</w:t>
      </w:r>
    </w:p>
    <w:p w14:paraId="3DEE488F">
      <w:pPr>
        <w:snapToGrid w:val="0"/>
        <w:spacing w:line="360" w:lineRule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配置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清单</w:t>
      </w:r>
    </w:p>
    <w:p w14:paraId="16170B88"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rPr>
          <w:rFonts w:hint="default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电声门模块（含电声门声卡及接触式电极、专用密码狗）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 xml:space="preserve"> 1套</w:t>
      </w:r>
    </w:p>
    <w:p w14:paraId="7CA543A8"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rPr>
          <w:rFonts w:hint="default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便携式图文工作站          1台</w:t>
      </w:r>
    </w:p>
    <w:p w14:paraId="2C45BA0F"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声级计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 xml:space="preserve">                1套</w:t>
      </w:r>
    </w:p>
    <w:p w14:paraId="1A09E6A1"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电源线      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1套</w:t>
      </w:r>
    </w:p>
    <w:p w14:paraId="4657FE9E"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嗓音分析软件           1套</w:t>
      </w:r>
    </w:p>
    <w:p w14:paraId="55E1BB32">
      <w:pPr>
        <w:widowControl w:val="0"/>
        <w:numPr>
          <w:numId w:val="0"/>
        </w:numPr>
        <w:snapToGrid w:val="0"/>
        <w:spacing w:line="360" w:lineRule="auto"/>
        <w:jc w:val="both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</w:p>
    <w:p w14:paraId="31D2452C">
      <w:pPr>
        <w:pStyle w:val="2"/>
        <w:spacing w:before="71" w:line="224" w:lineRule="auto"/>
        <w:rPr>
          <w:sz w:val="24"/>
          <w:szCs w:val="24"/>
        </w:rPr>
      </w:pPr>
      <w:r>
        <w:rPr>
          <w:rFonts w:hint="eastAsia"/>
          <w:b/>
          <w:bCs/>
          <w:spacing w:val="2"/>
          <w:sz w:val="24"/>
          <w:szCs w:val="24"/>
          <w:lang w:val="en-US" w:eastAsia="zh-CN"/>
        </w:rPr>
        <w:t>二、</w:t>
      </w:r>
      <w:r>
        <w:rPr>
          <w:b/>
          <w:bCs/>
          <w:spacing w:val="2"/>
          <w:sz w:val="24"/>
          <w:szCs w:val="24"/>
        </w:rPr>
        <w:t>服务要求</w:t>
      </w:r>
    </w:p>
    <w:p w14:paraId="2E8CFBCB">
      <w:pPr>
        <w:pStyle w:val="2"/>
        <w:spacing w:before="70" w:line="224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、提供详细的产品使用说明书和操作指南。</w:t>
      </w:r>
    </w:p>
    <w:p w14:paraId="4D3BFF69">
      <w:pPr>
        <w:pStyle w:val="2"/>
        <w:spacing w:before="70" w:line="224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2</w:t>
      </w:r>
      <w:r>
        <w:rPr>
          <w:spacing w:val="5"/>
          <w:sz w:val="24"/>
          <w:szCs w:val="24"/>
        </w:rPr>
        <w:t>、提供安装和调试服务，确保产品正确安装并能正常使用。</w:t>
      </w:r>
    </w:p>
    <w:p w14:paraId="11BF9F6A">
      <w:pPr>
        <w:pStyle w:val="2"/>
        <w:spacing w:before="70" w:line="224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3</w:t>
      </w:r>
      <w:r>
        <w:rPr>
          <w:spacing w:val="4"/>
          <w:sz w:val="24"/>
          <w:szCs w:val="24"/>
        </w:rPr>
        <w:t>、提供操作培训，使科室工作人员能够熟练掌握产品的使用方法。</w:t>
      </w:r>
    </w:p>
    <w:p w14:paraId="0E259674">
      <w:pPr>
        <w:pStyle w:val="2"/>
        <w:spacing w:before="71" w:line="254" w:lineRule="auto"/>
        <w:ind w:right="5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4</w:t>
      </w:r>
      <w:r>
        <w:rPr>
          <w:spacing w:val="7"/>
          <w:sz w:val="24"/>
          <w:szCs w:val="24"/>
        </w:rPr>
        <w:t>、提供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≥3</w:t>
      </w:r>
      <w:r>
        <w:rPr>
          <w:spacing w:val="7"/>
          <w:sz w:val="24"/>
          <w:szCs w:val="24"/>
        </w:rPr>
        <w:t>年的免费保修期，在此期间内非人为损坏由供应商负责免费维修或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更换。</w:t>
      </w:r>
    </w:p>
    <w:p w14:paraId="5A988C8B">
      <w:pPr>
        <w:spacing w:line="334" w:lineRule="auto"/>
        <w:rPr>
          <w:rFonts w:ascii="Arial"/>
          <w:sz w:val="24"/>
          <w:szCs w:val="24"/>
        </w:rPr>
      </w:pPr>
    </w:p>
    <w:p w14:paraId="4DE303DD">
      <w:pPr>
        <w:pStyle w:val="2"/>
        <w:spacing w:before="72" w:line="224" w:lineRule="auto"/>
        <w:rPr>
          <w:sz w:val="24"/>
          <w:szCs w:val="24"/>
        </w:rPr>
      </w:pPr>
      <w:r>
        <w:rPr>
          <w:rFonts w:hint="eastAsia"/>
          <w:b/>
          <w:bCs/>
          <w:spacing w:val="1"/>
          <w:sz w:val="24"/>
          <w:szCs w:val="24"/>
          <w:lang w:val="en-US" w:eastAsia="zh-CN"/>
        </w:rPr>
        <w:t>三、</w:t>
      </w:r>
      <w:r>
        <w:rPr>
          <w:b/>
          <w:bCs/>
          <w:spacing w:val="1"/>
          <w:sz w:val="24"/>
          <w:szCs w:val="24"/>
        </w:rPr>
        <w:t>商务要求</w:t>
      </w:r>
    </w:p>
    <w:p w14:paraId="41CB8A1D">
      <w:pPr>
        <w:pStyle w:val="2"/>
        <w:spacing w:before="71" w:line="254" w:lineRule="auto"/>
        <w:ind w:right="559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1、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时间要求:中标供应商应在接到送货通知后7天内完成设备的交付，并在15天内完成安装调试。</w:t>
      </w:r>
    </w:p>
    <w:p w14:paraId="21421AA1">
      <w:pPr>
        <w:pStyle w:val="2"/>
        <w:spacing w:before="71" w:line="224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2</w:t>
      </w:r>
      <w:r>
        <w:rPr>
          <w:spacing w:val="3"/>
          <w:sz w:val="24"/>
          <w:szCs w:val="24"/>
        </w:rPr>
        <w:t>、地点要求：交货地点院方指定地点。</w:t>
      </w:r>
    </w:p>
    <w:p w14:paraId="06353F83">
      <w:pPr>
        <w:pStyle w:val="2"/>
        <w:spacing w:before="71" w:line="253" w:lineRule="auto"/>
        <w:ind w:right="41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3</w:t>
      </w:r>
      <w:r>
        <w:rPr>
          <w:spacing w:val="5"/>
          <w:sz w:val="24"/>
          <w:szCs w:val="24"/>
        </w:rPr>
        <w:t>、财务要求：货到交货地点并经验收合格后，在货物验收合格和收到厂家开具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的等额增值税普通发票等付款材料之日起</w:t>
      </w:r>
      <w:r>
        <w:rPr>
          <w:spacing w:val="-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30 </w:t>
      </w:r>
      <w:r>
        <w:rPr>
          <w:spacing w:val="3"/>
          <w:sz w:val="24"/>
          <w:szCs w:val="24"/>
        </w:rPr>
        <w:t>个工作日内向乙方支付</w:t>
      </w:r>
      <w:r>
        <w:rPr>
          <w:spacing w:val="-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100%</w:t>
      </w:r>
      <w:r>
        <w:rPr>
          <w:spacing w:val="3"/>
          <w:sz w:val="24"/>
          <w:szCs w:val="24"/>
        </w:rPr>
        <w:t>货</w:t>
      </w:r>
      <w:r>
        <w:rPr>
          <w:spacing w:val="-9"/>
          <w:sz w:val="24"/>
          <w:szCs w:val="24"/>
        </w:rPr>
        <w:t>款。</w:t>
      </w:r>
    </w:p>
    <w:p w14:paraId="3AE1224E">
      <w:pPr>
        <w:pStyle w:val="2"/>
        <w:spacing w:before="71" w:line="253" w:lineRule="auto"/>
        <w:ind w:right="40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</w:t>
      </w:r>
      <w:r>
        <w:rPr>
          <w:sz w:val="24"/>
          <w:szCs w:val="24"/>
        </w:rPr>
        <w:t xml:space="preserve">、包装与运输：设备需采用防震包装，确保运输过程中的安全。运输费用由供 </w:t>
      </w:r>
      <w:r>
        <w:rPr>
          <w:spacing w:val="5"/>
          <w:sz w:val="24"/>
          <w:szCs w:val="24"/>
        </w:rPr>
        <w:t>应商承担，运输途中的一切风险由供应商负责。</w:t>
      </w:r>
    </w:p>
    <w:p w14:paraId="79DC190F">
      <w:pPr>
        <w:pStyle w:val="2"/>
        <w:spacing w:before="70" w:line="223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、</w:t>
      </w:r>
      <w:r>
        <w:rPr>
          <w:spacing w:val="-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需遵守医院供应商管理规定（规定详见医院官网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-</w:t>
      </w:r>
      <w:r>
        <w:rPr>
          <w:spacing w:val="3"/>
          <w:sz w:val="24"/>
          <w:szCs w:val="24"/>
        </w:rPr>
        <w:t>采购公告置顶内容）</w:t>
      </w:r>
    </w:p>
    <w:p w14:paraId="46F263A3">
      <w:pPr>
        <w:widowControl w:val="0"/>
        <w:numPr>
          <w:numId w:val="0"/>
        </w:numPr>
        <w:snapToGrid w:val="0"/>
        <w:spacing w:line="360" w:lineRule="auto"/>
        <w:jc w:val="both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5599"/>
    <w:rsid w:val="1CAA42BB"/>
    <w:rsid w:val="3E7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877</Characters>
  <Paragraphs>15</Paragraphs>
  <TotalTime>3</TotalTime>
  <ScaleCrop>false</ScaleCrop>
  <LinksUpToDate>false</LinksUpToDate>
  <CharactersWithSpaces>925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2025-09-18T02:48:00Z</dcterms:created>
  <dc:creator>曾玉霞</dc:creator>
  <cp:lastModifiedBy>Zhou</cp:lastModifiedBy>
  <cp:lastPrinted>2025-11-12T02:52:49Z</cp:lastPrinted>
  <dcterms:modified xsi:type="dcterms:W3CDTF">2025-11-12T02:54:40Z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E1B0BBC53E384D35838563B6A466FB12_13</vt:lpwstr>
  </property>
  <property fmtid="{D5CDD505-2E9C-101B-9397-08002B2CF9AE}" pid="4" name="KSOTemplateDocerSaveRecord">
    <vt:lpwstr>eyJoZGlkIjoiZTFiM2EyNGE3MjNjMjNhZDJjODg2M2NlYzc0MDIxZmUiLCJ1c2VySWQiOiIxNjU3NTQxMjg3In0=</vt:lpwstr>
  </property>
</Properties>
</file>