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D36E">
      <w:pPr>
        <w:bidi w:val="0"/>
        <w:spacing w:line="240" w:lineRule="auto"/>
        <w:rPr>
          <w:rFonts w:hint="eastAsia" w:ascii="宋体" w:hAnsi="宋体" w:eastAsia="宋体" w:cs="宋体"/>
          <w:b/>
          <w:bCs/>
          <w:sz w:val="22"/>
          <w:szCs w:val="22"/>
        </w:rPr>
      </w:pPr>
      <w:bookmarkStart w:id="0" w:name="_GoBack"/>
      <w:r>
        <w:rPr>
          <w:rFonts w:hint="eastAsia" w:ascii="宋体" w:hAnsi="宋体" w:eastAsia="宋体" w:cs="宋体"/>
          <w:b/>
          <w:bCs/>
          <w:sz w:val="22"/>
          <w:szCs w:val="22"/>
        </w:rPr>
        <w:t>平衡康复训练仪</w:t>
      </w:r>
      <w:bookmarkEnd w:id="0"/>
      <w:r>
        <w:rPr>
          <w:rFonts w:hint="eastAsia" w:ascii="宋体" w:hAnsi="宋体" w:eastAsia="宋体" w:cs="宋体"/>
          <w:b/>
          <w:bCs/>
          <w:sz w:val="22"/>
          <w:szCs w:val="22"/>
        </w:rPr>
        <w:t>：</w:t>
      </w:r>
    </w:p>
    <w:p w14:paraId="59CAC57F">
      <w:pPr>
        <w:bidi w:val="0"/>
        <w:spacing w:line="240" w:lineRule="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一、技术需求：</w:t>
      </w:r>
    </w:p>
    <w:p w14:paraId="501E2E7B">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训练模块：坐姿训练，站立训练，注视稳定性训练，头颈稳定性训练，平衡与步态训练，习服训练，中枢前庭功能训练，BPPV耳石症专项训练，心理康复，自定义训练（根据患者评估情况，所有训练内容任意组合）</w:t>
      </w:r>
    </w:p>
    <w:p w14:paraId="0F309044">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2.康复评估功能：训练得分评估和量表评估，包括VAS、DHI、Berg、HAMA、ABC、HADS等量表。</w:t>
      </w:r>
    </w:p>
    <w:p w14:paraId="3446BA02">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3.▲具有SVV/SVH、头偏斜检测功能：并出具相应的检查报告，用于评估前庭康复效果。</w:t>
      </w:r>
    </w:p>
    <w:p w14:paraId="7A3FA59B">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4.▲个体化康复方案设置：系统可个体化设置各训练模块的技术参数，设置不同的训练频率，训练时长，训练速度等，生成和保存不同患者的个体化训练方案。</w:t>
      </w:r>
    </w:p>
    <w:p w14:paraId="1587FFF1">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5.训练选择及难度：</w:t>
      </w:r>
      <w:r>
        <w:rPr>
          <w:rFonts w:hint="eastAsia" w:ascii="宋体" w:hAnsi="宋体" w:eastAsia="宋体" w:cs="宋体"/>
          <w:sz w:val="22"/>
          <w:szCs w:val="22"/>
          <w:lang w:val="en-US" w:eastAsia="zh-CN"/>
        </w:rPr>
        <w:t>①</w:t>
      </w:r>
      <w:r>
        <w:rPr>
          <w:rFonts w:hint="eastAsia" w:ascii="宋体" w:hAnsi="宋体" w:eastAsia="宋体" w:cs="宋体"/>
          <w:sz w:val="22"/>
          <w:szCs w:val="22"/>
          <w:lang w:val="en-US" w:eastAsia="zh-CN"/>
        </w:rPr>
        <w:t>头动训练时长60~300秒，转头频率0.1~1.5Hz，视靶移动间距0.5~2.5米可调，三种训练背景可调选；</w:t>
      </w:r>
      <w:r>
        <w:rPr>
          <w:rFonts w:hint="eastAsia" w:ascii="宋体" w:hAnsi="宋体" w:eastAsia="宋体" w:cs="宋体"/>
          <w:sz w:val="22"/>
          <w:szCs w:val="22"/>
          <w:lang w:val="en-US" w:eastAsia="zh-CN"/>
        </w:rPr>
        <w:t>②</w:t>
      </w:r>
      <w:r>
        <w:rPr>
          <w:rFonts w:hint="eastAsia" w:ascii="宋体" w:hAnsi="宋体" w:eastAsia="宋体" w:cs="宋体"/>
          <w:sz w:val="22"/>
          <w:szCs w:val="22"/>
          <w:lang w:val="en-US" w:eastAsia="zh-CN"/>
        </w:rPr>
        <w:t>扫视（反扫视）训练时长60~300秒，转头频率0.1~2Hz，视靶移动间距0.3~0.6米可调，三种训练背景可调选 ；</w:t>
      </w:r>
      <w:r>
        <w:rPr>
          <w:rFonts w:hint="eastAsia" w:ascii="宋体" w:hAnsi="宋体" w:eastAsia="宋体" w:cs="宋体"/>
          <w:sz w:val="22"/>
          <w:szCs w:val="22"/>
          <w:lang w:val="en-US" w:eastAsia="zh-CN"/>
        </w:rPr>
        <w:t>③</w:t>
      </w:r>
      <w:r>
        <w:rPr>
          <w:rFonts w:hint="eastAsia" w:ascii="宋体" w:hAnsi="宋体" w:eastAsia="宋体" w:cs="宋体"/>
          <w:sz w:val="22"/>
          <w:szCs w:val="22"/>
          <w:lang w:val="en-US" w:eastAsia="zh-CN"/>
        </w:rPr>
        <w:t xml:space="preserve">头颈稳定性、平衡和步态训练时长60~300秒可调，难度设置:简单，中等，困难三個等級，三种训练背景可选； </w:t>
      </w:r>
      <w:r>
        <w:rPr>
          <w:rFonts w:hint="eastAsia" w:ascii="宋体" w:hAnsi="宋体" w:eastAsia="宋体" w:cs="宋体"/>
          <w:sz w:val="22"/>
          <w:szCs w:val="22"/>
          <w:lang w:val="en-US" w:eastAsia="zh-CN"/>
        </w:rPr>
        <w:t>④</w:t>
      </w:r>
      <w:r>
        <w:rPr>
          <w:rFonts w:hint="eastAsia" w:ascii="宋体" w:hAnsi="宋体" w:eastAsia="宋体" w:cs="宋体"/>
          <w:sz w:val="22"/>
          <w:szCs w:val="22"/>
          <w:lang w:val="en-US" w:eastAsia="zh-CN"/>
        </w:rPr>
        <w:t>听觉与触觉振动反馈技术：训练过程中可实时与听觉，触觉振动交互；</w:t>
      </w:r>
      <w:r>
        <w:rPr>
          <w:rFonts w:hint="eastAsia" w:ascii="宋体" w:hAnsi="宋体" w:eastAsia="宋体" w:cs="宋体"/>
          <w:sz w:val="22"/>
          <w:szCs w:val="22"/>
          <w:lang w:val="en-US" w:eastAsia="zh-CN"/>
        </w:rPr>
        <w:t>⑤</w:t>
      </w:r>
      <w:r>
        <w:rPr>
          <w:rFonts w:hint="eastAsia" w:ascii="宋体" w:hAnsi="宋体" w:eastAsia="宋体" w:cs="宋体"/>
          <w:sz w:val="22"/>
          <w:szCs w:val="22"/>
          <w:lang w:val="en-US" w:eastAsia="zh-CN"/>
        </w:rPr>
        <w:t>频率提示：训练过程中，系统播放相对应的训练频率提示音，以引导患者进行指定频率下的康复训练。</w:t>
      </w:r>
    </w:p>
    <w:p w14:paraId="117940DD">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6.场景显示方式：虚拟现实一体机沉浸式环境，外接PC电脑工作站。</w:t>
      </w:r>
    </w:p>
    <w:p w14:paraId="33798016">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7.工作站：可通过计算机工作站设置、操控和同屏显示患者训练内容，方便医生操作。</w:t>
      </w:r>
    </w:p>
    <w:p w14:paraId="06160301">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8.▲康复训练报告：训练完成后自动生成康复训练报告，并通过雷达图直观显示主要训练模块的得分情况，并可添加之前评估过的量表结果信息，报告可打印。</w:t>
      </w:r>
    </w:p>
    <w:p w14:paraId="15E3250C">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9.▲患者管理及记录：可建立患者个人档案，保存患者所有的历史训练记录及量表评估记录；出具相应的检查报告，用于記錄评估前庭康复效果。</w:t>
      </w:r>
    </w:p>
    <w:p w14:paraId="27BF1FE5">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10.屏幕及光学 尺寸：≥5.5英寸，分辨率：4K，3664x1920。</w:t>
      </w:r>
    </w:p>
    <w:p w14:paraId="681C3267">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11.电池容量：≥5300mAh（可配外置电池）</w:t>
      </w:r>
    </w:p>
    <w:p w14:paraId="796DEDCD">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12.前置摄像头：鱼眼摄像头(≥640x480@120Hz, FOV:166°) x 4，支持头部6DoF定位，患者离开训练安全区域可透视外界环境。</w:t>
      </w:r>
    </w:p>
    <w:p w14:paraId="579F1071">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13.可选平衡测试系统，用于患者平衡功能检测、评估</w:t>
      </w:r>
    </w:p>
    <w:p w14:paraId="625F4341">
      <w:pPr>
        <w:bidi w:val="0"/>
        <w:spacing w:line="240" w:lineRule="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二、配置要求</w:t>
      </w:r>
    </w:p>
    <w:p w14:paraId="5960578D">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VR一体机 2台 手柄5个</w:t>
      </w:r>
    </w:p>
    <w:p w14:paraId="31FE9311">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计算机工作站 1套 医用推车 1台</w:t>
      </w:r>
    </w:p>
    <w:p w14:paraId="64693944">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平衡底板 1个 海绵垫 2个</w:t>
      </w:r>
    </w:p>
    <w:p w14:paraId="5598ED69">
      <w:pPr>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说明书 1本 收纳工具箱 1</w:t>
      </w:r>
    </w:p>
    <w:p w14:paraId="6B01C212">
      <w:pPr>
        <w:spacing w:line="240" w:lineRule="auto"/>
        <w:rPr>
          <w:rFonts w:hint="eastAsia" w:ascii="宋体" w:hAnsi="宋体" w:cs="宋体"/>
          <w:b/>
          <w:bCs/>
          <w:sz w:val="22"/>
          <w:szCs w:val="22"/>
          <w:lang w:val="en-US" w:eastAsia="zh-CN"/>
        </w:rPr>
      </w:pPr>
    </w:p>
    <w:p w14:paraId="6B323696">
      <w:pPr>
        <w:spacing w:line="240" w:lineRule="auto"/>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三</w:t>
      </w:r>
      <w:r>
        <w:rPr>
          <w:rFonts w:hint="eastAsia" w:ascii="宋体" w:hAnsi="宋体" w:eastAsia="宋体" w:cs="宋体"/>
          <w:b/>
          <w:bCs/>
          <w:sz w:val="22"/>
          <w:szCs w:val="22"/>
          <w:lang w:val="en-US" w:eastAsia="zh-CN"/>
        </w:rPr>
        <w:t>、服务要求</w:t>
      </w:r>
    </w:p>
    <w:p w14:paraId="3F12B1A0">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1.提供安装和调试服务，确保产品正确安装并能正常使用。</w:t>
      </w:r>
    </w:p>
    <w:p w14:paraId="4B3513B4">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2.提供操作培训，使科室工作人员能够熟练掌握产品的使用方法。</w:t>
      </w:r>
    </w:p>
    <w:p w14:paraId="4DC44110">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3.提供≥5年的免费保修期，在此期间内非人为损坏由供应商负责免费维修或更换。</w:t>
      </w:r>
    </w:p>
    <w:p w14:paraId="7F1D0C83">
      <w:pPr>
        <w:spacing w:line="240" w:lineRule="auto"/>
        <w:rPr>
          <w:rFonts w:hint="eastAsia" w:ascii="宋体" w:hAnsi="宋体" w:cs="宋体"/>
          <w:b/>
          <w:bCs/>
          <w:sz w:val="22"/>
          <w:szCs w:val="22"/>
          <w:lang w:val="en-US" w:eastAsia="zh-CN"/>
        </w:rPr>
      </w:pPr>
    </w:p>
    <w:p w14:paraId="4AA37A54">
      <w:pPr>
        <w:spacing w:line="240" w:lineRule="auto"/>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四</w:t>
      </w:r>
      <w:r>
        <w:rPr>
          <w:rFonts w:hint="eastAsia" w:ascii="宋体" w:hAnsi="宋体" w:eastAsia="宋体" w:cs="宋体"/>
          <w:b/>
          <w:bCs/>
          <w:sz w:val="22"/>
          <w:szCs w:val="22"/>
          <w:lang w:val="en-US" w:eastAsia="zh-CN"/>
        </w:rPr>
        <w:t>、商务要求</w:t>
      </w:r>
    </w:p>
    <w:p w14:paraId="0D5ED7F9">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1.时间要求:中标供应商应在接到送货通知后7天内完成设备的交付，并在15天内完成安装调试。</w:t>
      </w:r>
    </w:p>
    <w:p w14:paraId="567E02CE">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2.地点要求:交货地点院方指定地点。</w:t>
      </w:r>
    </w:p>
    <w:p w14:paraId="1D74BD0F">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3.财务要求:货到交货地点并经验收合格后，在货物验收合格和收到厂家开具的等额增值税普通发票等付款材料之日起30个工作日内向乙方支付100%货款。</w:t>
      </w:r>
    </w:p>
    <w:p w14:paraId="17AE2C8B">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4.包装与运输:设备需采用防震包装，确保运输过程中的安全。运输费用由供应商承担，运输途中的一切风险由供应商负责。</w:t>
      </w:r>
    </w:p>
    <w:p w14:paraId="7F7823DD">
      <w:pPr>
        <w:spacing w:line="240" w:lineRule="auto"/>
        <w:rPr>
          <w:rFonts w:hint="default"/>
          <w:sz w:val="22"/>
          <w:szCs w:val="22"/>
          <w:lang w:val="en-US" w:eastAsia="zh-CN"/>
        </w:rPr>
      </w:pPr>
      <w:r>
        <w:rPr>
          <w:rFonts w:hint="eastAsia" w:ascii="宋体" w:hAnsi="宋体" w:eastAsia="宋体" w:cs="宋体"/>
          <w:sz w:val="22"/>
          <w:szCs w:val="22"/>
          <w:lang w:val="en-US" w:eastAsia="zh-CN"/>
        </w:rPr>
        <w:t>5.需遵守医院供应商管理规定（规定详见医院官网-采购公告置顶内容）</w:t>
      </w:r>
    </w:p>
    <w:p w14:paraId="13092506">
      <w:pPr>
        <w:numPr>
          <w:ilvl w:val="0"/>
          <w:numId w:val="0"/>
        </w:numPr>
        <w:spacing w:line="240" w:lineRule="auto"/>
        <w:ind w:leftChars="0"/>
        <w:rPr>
          <w:rFonts w:hint="default"/>
          <w:sz w:val="22"/>
          <w:szCs w:val="22"/>
          <w:lang w:val="en-US" w:eastAsia="zh-CN"/>
        </w:rPr>
      </w:pPr>
    </w:p>
    <w:p w14:paraId="02A3AEF4">
      <w:pPr>
        <w:spacing w:line="240" w:lineRule="auto"/>
        <w:rPr>
          <w:rFonts w:hint="default"/>
          <w:sz w:val="22"/>
          <w:szCs w:val="22"/>
          <w:lang w:val="en-US" w:eastAsia="zh-CN"/>
        </w:rPr>
      </w:pPr>
    </w:p>
    <w:p w14:paraId="7B43E37A">
      <w:pPr>
        <w:spacing w:line="240" w:lineRule="auto"/>
        <w:rPr>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940D6"/>
    <w:rsid w:val="63E9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2025-10-10T02:20:00Z</dcterms:created>
  <dc:creator>Zhou</dc:creator>
  <cp:lastModifiedBy>Zhou</cp:lastModifiedBy>
  <cp:lastPrinted>2025-10-10T02:33:01Z</cp:lastPrinted>
  <dcterms:modified xsi:type="dcterms:W3CDTF">2025-10-10T02:55:22Z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239A0CCF9CBE4BCEA8C492700C45999E_11</vt:lpwstr>
  </property>
  <property fmtid="{D5CDD505-2E9C-101B-9397-08002B2CF9AE}" pid="4" name="KSOTemplateDocerSaveRecord">
    <vt:lpwstr>eyJoZGlkIjoiZTFiM2EyNGE3MjNjMjNhZDJjODg2M2NlYzc0MDIxZmUiLCJ1c2VySWQiOiIxNjU3NTQxMjg3In0=</vt:lpwstr>
  </property>
</Properties>
</file>