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Pr="00DF4FA5" w:rsidRDefault="00DF4FA5" w:rsidP="00DF4FA5">
      <w:pPr>
        <w:rPr>
          <w:b/>
          <w:bCs/>
          <w:sz w:val="32"/>
        </w:rPr>
      </w:pPr>
      <w:r w:rsidRPr="00DF4FA5">
        <w:rPr>
          <w:rFonts w:hint="eastAsia"/>
          <w:b/>
          <w:bCs/>
          <w:sz w:val="32"/>
        </w:rPr>
        <w:t>参数要求</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7606"/>
      </w:tblGrid>
      <w:tr w:rsidR="00BB54C7" w:rsidTr="009D7C86">
        <w:trPr>
          <w:jc w:val="center"/>
        </w:trPr>
        <w:tc>
          <w:tcPr>
            <w:tcW w:w="1147" w:type="dxa"/>
            <w:vMerge w:val="restart"/>
            <w:shd w:val="clear" w:color="auto" w:fill="auto"/>
          </w:tcPr>
          <w:p w:rsidR="00BB54C7" w:rsidRDefault="00BB54C7" w:rsidP="009D7C86">
            <w:pPr>
              <w:rPr>
                <w:rFonts w:asciiTheme="minorEastAsia" w:hAnsiTheme="minorEastAsia"/>
                <w:color w:val="000000" w:themeColor="text1"/>
                <w:szCs w:val="21"/>
              </w:rPr>
            </w:pPr>
            <w:r>
              <w:rPr>
                <w:rFonts w:asciiTheme="minorEastAsia" w:hAnsiTheme="minorEastAsia" w:hint="eastAsia"/>
                <w:color w:val="000000" w:themeColor="text1"/>
                <w:szCs w:val="21"/>
              </w:rPr>
              <w:t>技术参数</w:t>
            </w: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消毒方法：高浓度臭氧半增压渗透</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灭菌对数值：＞</w:t>
            </w:r>
            <w:r>
              <w:rPr>
                <w:rFonts w:asciiTheme="minorEastAsia" w:hAnsiTheme="minorEastAsia" w:cs="宋体"/>
                <w:color w:val="000000" w:themeColor="text1"/>
                <w:szCs w:val="21"/>
              </w:rPr>
              <w:t>3.00</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臭氧产量：≥400</w:t>
            </w:r>
            <w:r>
              <w:rPr>
                <w:rFonts w:asciiTheme="minorEastAsia" w:hAnsiTheme="minorEastAsia" w:cs="宋体"/>
                <w:color w:val="000000" w:themeColor="text1"/>
                <w:szCs w:val="21"/>
              </w:rPr>
              <w:t>0mg/h</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消毒工作噪音；＜35</w:t>
            </w:r>
            <w:r>
              <w:rPr>
                <w:rFonts w:asciiTheme="minorEastAsia" w:hAnsiTheme="minorEastAsia" w:cs="宋体"/>
                <w:color w:val="000000" w:themeColor="text1"/>
                <w:szCs w:val="21"/>
              </w:rPr>
              <w:t>dB</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臭氧平均泄露：≤</w:t>
            </w:r>
            <w:r>
              <w:rPr>
                <w:rFonts w:asciiTheme="minorEastAsia" w:hAnsiTheme="minorEastAsia" w:cs="宋体"/>
                <w:color w:val="000000" w:themeColor="text1"/>
                <w:szCs w:val="21"/>
              </w:rPr>
              <w:t>0.0</w:t>
            </w: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mg/m</w:t>
            </w:r>
            <w:r>
              <w:rPr>
                <w:rFonts w:asciiTheme="minorEastAsia" w:hAnsiTheme="minorEastAsia" w:cs="宋体" w:hint="eastAsia"/>
                <w:color w:val="000000" w:themeColor="text1"/>
                <w:szCs w:val="21"/>
              </w:rPr>
              <w:t>³</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臭氧浓度：≥300</w:t>
            </w:r>
            <w:r>
              <w:rPr>
                <w:rFonts w:asciiTheme="minorEastAsia" w:hAnsiTheme="minorEastAsia" w:cs="宋体"/>
                <w:color w:val="000000" w:themeColor="text1"/>
                <w:szCs w:val="21"/>
              </w:rPr>
              <w:t>0mg/ m</w:t>
            </w:r>
            <w:r>
              <w:rPr>
                <w:rFonts w:asciiTheme="minorEastAsia" w:hAnsiTheme="minorEastAsia" w:cs="宋体" w:hint="eastAsia"/>
                <w:color w:val="000000" w:themeColor="text1"/>
                <w:szCs w:val="21"/>
              </w:rPr>
              <w:t>³</w:t>
            </w:r>
          </w:p>
        </w:tc>
      </w:tr>
      <w:tr w:rsidR="00BB54C7" w:rsidTr="009D7C86">
        <w:trPr>
          <w:jc w:val="center"/>
        </w:trPr>
        <w:tc>
          <w:tcPr>
            <w:tcW w:w="1147" w:type="dxa"/>
            <w:vMerge w:val="restart"/>
            <w:shd w:val="clear" w:color="auto" w:fill="auto"/>
          </w:tcPr>
          <w:p w:rsidR="00BB54C7" w:rsidRDefault="00BB54C7" w:rsidP="009D7C86">
            <w:pPr>
              <w:rPr>
                <w:rFonts w:asciiTheme="minorEastAsia" w:hAnsiTheme="minorEastAsia"/>
                <w:color w:val="000000" w:themeColor="text1"/>
                <w:szCs w:val="21"/>
              </w:rPr>
            </w:pPr>
            <w:r>
              <w:rPr>
                <w:rFonts w:asciiTheme="minorEastAsia" w:hAnsiTheme="minorEastAsia" w:hint="eastAsia"/>
                <w:color w:val="000000" w:themeColor="text1"/>
                <w:szCs w:val="21"/>
              </w:rPr>
              <w:t>性能参数</w:t>
            </w: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机器配有无油超静音双活塞真空泵</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机器配有压力传感器、电磁阀、自动控制程序可实现一键自动消毒并监测消毒时间和袋内气体压力，无需人员逐步设定与操作</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机身自带可收纳消毒袋和消毒管的收纳盒，与机身一体焊接而成，坚固耐用</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rPr>
                <w:rFonts w:asciiTheme="minorEastAsia" w:hAnsiTheme="minorEastAsia"/>
                <w:color w:val="000000" w:themeColor="text1"/>
                <w:szCs w:val="21"/>
              </w:rPr>
            </w:pPr>
            <w:r>
              <w:rPr>
                <w:rFonts w:asciiTheme="minorEastAsia" w:hAnsiTheme="minorEastAsia" w:cs="宋体" w:hint="eastAsia"/>
                <w:color w:val="000000" w:themeColor="text1"/>
                <w:szCs w:val="21"/>
              </w:rPr>
              <w:t>臭氧发生器采用高纯氧化铝陶瓷介电材质，臭氧产量高，消毒能力强</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▲微电脑程序和中文液晶屏幕可实时显示工作参数和故障提示</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276"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具有臭氧催化解析功能，催化解析装置外置，可实时检测还原装置是否有效，轻松更换</w:t>
            </w:r>
          </w:p>
        </w:tc>
      </w:tr>
      <w:tr w:rsidR="00BB54C7" w:rsidTr="009D7C86">
        <w:trPr>
          <w:trHeight w:val="430"/>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276"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产品外壳采用金属薄板制造、脚轮采用医疗脚轮并可自锁</w:t>
            </w:r>
          </w:p>
        </w:tc>
      </w:tr>
      <w:tr w:rsidR="00BB54C7" w:rsidTr="009D7C86">
        <w:trPr>
          <w:jc w:val="center"/>
        </w:trPr>
        <w:tc>
          <w:tcPr>
            <w:tcW w:w="1147" w:type="dxa"/>
            <w:vMerge w:val="restart"/>
            <w:shd w:val="clear" w:color="auto" w:fill="auto"/>
          </w:tcPr>
          <w:p w:rsidR="00BB54C7" w:rsidRDefault="00BB54C7" w:rsidP="009D7C86">
            <w:pPr>
              <w:rPr>
                <w:rFonts w:asciiTheme="minorEastAsia" w:hAnsiTheme="minorEastAsia"/>
                <w:color w:val="000000" w:themeColor="text1"/>
                <w:szCs w:val="21"/>
              </w:rPr>
            </w:pPr>
            <w:r>
              <w:rPr>
                <w:rFonts w:asciiTheme="minorEastAsia" w:hAnsiTheme="minorEastAsia" w:hint="eastAsia"/>
                <w:color w:val="000000" w:themeColor="text1"/>
                <w:szCs w:val="21"/>
              </w:rPr>
              <w:t>电气参数</w:t>
            </w: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输入功率：≤</w:t>
            </w:r>
            <w:r>
              <w:rPr>
                <w:rFonts w:asciiTheme="minorEastAsia" w:hAnsiTheme="minorEastAsia" w:cs="宋体"/>
                <w:color w:val="000000" w:themeColor="text1"/>
                <w:szCs w:val="21"/>
              </w:rPr>
              <w:t>310W</w:t>
            </w:r>
          </w:p>
        </w:tc>
      </w:tr>
      <w:tr w:rsidR="00BB54C7" w:rsidTr="009D7C86">
        <w:trPr>
          <w:jc w:val="center"/>
        </w:trPr>
        <w:tc>
          <w:tcPr>
            <w:tcW w:w="1147" w:type="dxa"/>
            <w:vMerge/>
            <w:shd w:val="clear" w:color="auto" w:fill="auto"/>
          </w:tcPr>
          <w:p w:rsidR="00BB54C7" w:rsidRDefault="00BB54C7" w:rsidP="009D7C86">
            <w:pPr>
              <w:rPr>
                <w:rFonts w:asciiTheme="minorEastAsia" w:hAnsiTheme="minorEastAsia"/>
                <w:color w:val="000000" w:themeColor="text1"/>
                <w:szCs w:val="21"/>
              </w:rPr>
            </w:pPr>
          </w:p>
        </w:tc>
        <w:tc>
          <w:tcPr>
            <w:tcW w:w="7606" w:type="dxa"/>
            <w:shd w:val="clear" w:color="auto" w:fill="auto"/>
          </w:tcPr>
          <w:p w:rsidR="00BB54C7" w:rsidRDefault="00BB54C7" w:rsidP="009D7C86">
            <w:pPr>
              <w:tabs>
                <w:tab w:val="left" w:pos="425"/>
              </w:tabs>
              <w:spacing w:line="360"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额定电压：</w:t>
            </w:r>
            <w:r>
              <w:rPr>
                <w:rFonts w:asciiTheme="minorEastAsia" w:hAnsiTheme="minorEastAsia" w:cs="宋体"/>
                <w:color w:val="000000" w:themeColor="text1"/>
                <w:szCs w:val="21"/>
              </w:rPr>
              <w:t>AC 220V</w:t>
            </w: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10V</w:t>
            </w:r>
            <w:r>
              <w:rPr>
                <w:rFonts w:asciiTheme="minorEastAsia" w:hAnsiTheme="minorEastAsia" w:cs="宋体" w:hint="eastAsia"/>
                <w:color w:val="000000" w:themeColor="text1"/>
                <w:szCs w:val="21"/>
              </w:rPr>
              <w:t>；额定电流：</w:t>
            </w:r>
            <w:r>
              <w:rPr>
                <w:rFonts w:asciiTheme="minorEastAsia" w:hAnsiTheme="minorEastAsia" w:cs="宋体"/>
                <w:color w:val="000000" w:themeColor="text1"/>
                <w:szCs w:val="21"/>
              </w:rPr>
              <w:t>1.4A</w:t>
            </w:r>
          </w:p>
        </w:tc>
      </w:tr>
    </w:tbl>
    <w:tbl>
      <w:tblPr>
        <w:tblpPr w:leftFromText="182" w:rightFromText="182" w:vertAnchor="text" w:horzAnchor="page" w:tblpX="2343" w:tblpY="8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22"/>
        <w:gridCol w:w="1559"/>
      </w:tblGrid>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b/>
                <w:sz w:val="24"/>
                <w:szCs w:val="24"/>
              </w:rPr>
            </w:pPr>
            <w:r w:rsidRPr="00BB54C7">
              <w:rPr>
                <w:rFonts w:ascii="Times New Roman" w:eastAsia="宋体" w:hAnsi="Times New Roman" w:cs="Times New Roman" w:hint="eastAsia"/>
                <w:b/>
                <w:sz w:val="24"/>
                <w:szCs w:val="24"/>
              </w:rPr>
              <w:t>序号</w:t>
            </w:r>
          </w:p>
        </w:tc>
        <w:tc>
          <w:tcPr>
            <w:tcW w:w="2722" w:type="dxa"/>
            <w:vAlign w:val="center"/>
          </w:tcPr>
          <w:p w:rsidR="00BB54C7" w:rsidRPr="00BB54C7" w:rsidRDefault="00BB54C7" w:rsidP="00BB54C7">
            <w:pPr>
              <w:jc w:val="center"/>
              <w:rPr>
                <w:rFonts w:ascii="Times New Roman" w:eastAsia="宋体" w:hAnsi="Times New Roman" w:cs="Times New Roman"/>
                <w:b/>
                <w:sz w:val="24"/>
                <w:szCs w:val="24"/>
              </w:rPr>
            </w:pPr>
            <w:r w:rsidRPr="00BB54C7">
              <w:rPr>
                <w:rFonts w:ascii="Times New Roman" w:eastAsia="宋体" w:hAnsi="Times New Roman" w:cs="Times New Roman" w:hint="eastAsia"/>
                <w:b/>
                <w:sz w:val="24"/>
                <w:szCs w:val="24"/>
              </w:rPr>
              <w:t>名称</w:t>
            </w:r>
          </w:p>
        </w:tc>
        <w:tc>
          <w:tcPr>
            <w:tcW w:w="1559" w:type="dxa"/>
            <w:vAlign w:val="center"/>
          </w:tcPr>
          <w:p w:rsidR="00BB54C7" w:rsidRPr="00BB54C7" w:rsidRDefault="00BB54C7" w:rsidP="00BB54C7">
            <w:pPr>
              <w:jc w:val="center"/>
              <w:rPr>
                <w:rFonts w:ascii="Times New Roman" w:eastAsia="宋体" w:hAnsi="Times New Roman" w:cs="Times New Roman"/>
                <w:b/>
                <w:sz w:val="24"/>
                <w:szCs w:val="24"/>
              </w:rPr>
            </w:pPr>
            <w:r w:rsidRPr="00BB54C7">
              <w:rPr>
                <w:rFonts w:ascii="Times New Roman" w:eastAsia="宋体" w:hAnsi="Times New Roman" w:cs="Times New Roman" w:hint="eastAsia"/>
                <w:b/>
                <w:sz w:val="24"/>
                <w:szCs w:val="24"/>
              </w:rPr>
              <w:t>数量</w:t>
            </w:r>
          </w:p>
        </w:tc>
      </w:tr>
      <w:tr w:rsidR="00BB54C7" w:rsidRPr="00BB54C7" w:rsidTr="00BB54C7">
        <w:trPr>
          <w:trHeight w:val="50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控制系统</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套</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2</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臭氧发生装置</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套</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3</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充气泵</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个</w:t>
            </w:r>
          </w:p>
        </w:tc>
      </w:tr>
      <w:tr w:rsidR="00BB54C7" w:rsidRPr="00BB54C7" w:rsidTr="00BB54C7">
        <w:trPr>
          <w:trHeight w:val="603"/>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4</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真空泵</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个</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5</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散热扇</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个</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6</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还原装置</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套</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7</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消毒罩</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个</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8</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消毒软管</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2</w:t>
            </w:r>
            <w:r w:rsidRPr="00BB54C7">
              <w:rPr>
                <w:rFonts w:ascii="Times New Roman" w:eastAsia="宋体" w:hAnsi="Times New Roman" w:cs="Times New Roman" w:hint="eastAsia"/>
                <w:sz w:val="24"/>
                <w:szCs w:val="24"/>
              </w:rPr>
              <w:t>根</w:t>
            </w:r>
          </w:p>
        </w:tc>
      </w:tr>
      <w:tr w:rsidR="00BB54C7" w:rsidRPr="00BB54C7" w:rsidTr="00BB54C7">
        <w:trPr>
          <w:trHeight w:val="340"/>
        </w:trPr>
        <w:tc>
          <w:tcPr>
            <w:tcW w:w="817"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9</w:t>
            </w:r>
          </w:p>
        </w:tc>
        <w:tc>
          <w:tcPr>
            <w:tcW w:w="2722"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电源线</w:t>
            </w:r>
          </w:p>
        </w:tc>
        <w:tc>
          <w:tcPr>
            <w:tcW w:w="1559" w:type="dxa"/>
            <w:vAlign w:val="center"/>
          </w:tcPr>
          <w:p w:rsidR="00BB54C7" w:rsidRPr="00BB54C7" w:rsidRDefault="00BB54C7" w:rsidP="00BB54C7">
            <w:pPr>
              <w:jc w:val="center"/>
              <w:rPr>
                <w:rFonts w:ascii="Times New Roman" w:eastAsia="宋体" w:hAnsi="Times New Roman" w:cs="Times New Roman"/>
                <w:sz w:val="24"/>
                <w:szCs w:val="24"/>
              </w:rPr>
            </w:pPr>
            <w:r w:rsidRPr="00BB54C7">
              <w:rPr>
                <w:rFonts w:ascii="Times New Roman" w:eastAsia="宋体" w:hAnsi="Times New Roman" w:cs="Times New Roman" w:hint="eastAsia"/>
                <w:sz w:val="24"/>
                <w:szCs w:val="24"/>
              </w:rPr>
              <w:t>1</w:t>
            </w:r>
            <w:r w:rsidRPr="00BB54C7">
              <w:rPr>
                <w:rFonts w:ascii="Times New Roman" w:eastAsia="宋体" w:hAnsi="Times New Roman" w:cs="Times New Roman" w:hint="eastAsia"/>
                <w:sz w:val="24"/>
                <w:szCs w:val="24"/>
              </w:rPr>
              <w:t>根</w:t>
            </w:r>
          </w:p>
        </w:tc>
      </w:tr>
    </w:tbl>
    <w:p w:rsidR="00BB54C7" w:rsidRDefault="00BB54C7" w:rsidP="00BB54C7">
      <w:r>
        <w:br w:type="page"/>
      </w:r>
    </w:p>
    <w:p w:rsidR="00DF4FA5" w:rsidRPr="00DF4FA5" w:rsidRDefault="00DF4FA5" w:rsidP="00BB54C7">
      <w:pPr>
        <w:widowControl/>
        <w:rPr>
          <w:b/>
        </w:rPr>
      </w:pPr>
      <w:bookmarkStart w:id="0" w:name="_GoBack"/>
      <w:bookmarkEnd w:id="0"/>
      <w:r w:rsidRPr="00DF4FA5">
        <w:rPr>
          <w:rFonts w:hint="eastAsia"/>
          <w:b/>
        </w:rPr>
        <w:lastRenderedPageBreak/>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4、提供≥3年的免费保修期，在此期间内非人为损坏由供应商负责免费维修或更换。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90" w:rsidRDefault="00157C90" w:rsidP="00B40A5E">
      <w:r>
        <w:separator/>
      </w:r>
    </w:p>
  </w:endnote>
  <w:endnote w:type="continuationSeparator" w:id="0">
    <w:p w:rsidR="00157C90" w:rsidRDefault="00157C90"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90" w:rsidRDefault="00157C90" w:rsidP="00B40A5E">
      <w:r>
        <w:separator/>
      </w:r>
    </w:p>
  </w:footnote>
  <w:footnote w:type="continuationSeparator" w:id="0">
    <w:p w:rsidR="00157C90" w:rsidRDefault="00157C90"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157C90"/>
    <w:rsid w:val="001666C2"/>
    <w:rsid w:val="003216E9"/>
    <w:rsid w:val="00443D7B"/>
    <w:rsid w:val="005224CA"/>
    <w:rsid w:val="00532039"/>
    <w:rsid w:val="00601ACD"/>
    <w:rsid w:val="00816102"/>
    <w:rsid w:val="00926FB9"/>
    <w:rsid w:val="00B40A5E"/>
    <w:rsid w:val="00BB41EA"/>
    <w:rsid w:val="00BB54C7"/>
    <w:rsid w:val="00C467D4"/>
    <w:rsid w:val="00C50FCD"/>
    <w:rsid w:val="00D302FC"/>
    <w:rsid w:val="00DF4FA5"/>
    <w:rsid w:val="00ED010C"/>
    <w:rsid w:val="00FB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4127"/>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Company>微软中国</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2</cp:revision>
  <cp:lastPrinted>2025-07-18T07:05:00Z</cp:lastPrinted>
  <dcterms:created xsi:type="dcterms:W3CDTF">2025-07-29T00:54:00Z</dcterms:created>
  <dcterms:modified xsi:type="dcterms:W3CDTF">2025-07-29T00:54:00Z</dcterms:modified>
</cp:coreProperties>
</file>