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AD2D3">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val="en-US" w:eastAsia="zh-CN"/>
        </w:rPr>
        <w:t>手术无影灯参数配置要求</w:t>
      </w:r>
    </w:p>
    <w:p w14:paraId="69EA8C7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采用LED冷光源,每一组光源由单独的透镜聚光。</w:t>
      </w:r>
    </w:p>
    <w:p w14:paraId="7375CE9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采用高性能弹簧臂，灯臂关节数≥6个，关节灵活度大，稳定性好，定位准确。</w:t>
      </w:r>
    </w:p>
    <w:p w14:paraId="4B71F45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无影灯控制面板位于关节臂连接处，方便操作。</w:t>
      </w:r>
    </w:p>
    <w:p w14:paraId="70EE0A9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▲灯盘一体成型，无镂空和拼接缝隙，方便清洁。(提供彩页及实物图片证明)</w:t>
      </w:r>
    </w:p>
    <w:p w14:paraId="1C33976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▲灯头为超薄造型，灯头整体厚度≤10cm(提供及实物图片证明)。</w:t>
      </w:r>
    </w:p>
    <w:p w14:paraId="16E09CB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▲无影灯具有良好的层流穿透效果，紊流度&lt;37.5%。(提供层流认证证书)</w:t>
      </w:r>
    </w:p>
    <w:p w14:paraId="15240BE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 灯盘外侧具有一体成型操作扶手，便于非洁净区人员移动手术灯位置(提供及实物图片证明)。</w:t>
      </w:r>
    </w:p>
    <w:p w14:paraId="799AA16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 中置手柄可耐受134℃、205.8kPa的高温高压蒸汽灭菌。</w:t>
      </w:r>
    </w:p>
    <w:p w14:paraId="7C8677F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 灯泡寿命≥60000小时,每个灯泡可单独拆卸、更换，降低售后维护成本,</w:t>
      </w:r>
    </w:p>
    <w:p w14:paraId="42A5424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 ▲双母灯设计，最大中心照度≥160000lux(提供产品使用说明书证明)。</w:t>
      </w:r>
    </w:p>
    <w:p w14:paraId="3C1EB07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 具有明亮照明模式、普通照明模式和环境光照明模式，一键切换;明亮照明模式和普通照明模式下照度至少十级可调。</w:t>
      </w:r>
    </w:p>
    <w:p w14:paraId="1C2AE5D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 配备光斑调节功能，最小光斑≤180m，调节范围≥100mm，照度不随光斑大小改变而变化，保证术野获得稳定的照明。</w:t>
      </w:r>
    </w:p>
    <w:p w14:paraId="20EF90F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 光柱深度≥1200mm。</w:t>
      </w:r>
    </w:p>
    <w:p w14:paraId="5058683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 ▲具有术中调节色温功能, 3800~5000K，≥5档可调(提供产品使用说明书证明)。</w:t>
      </w:r>
    </w:p>
    <w:p w14:paraId="7A1AAED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 深腔照明率:≥99%。</w:t>
      </w:r>
    </w:p>
    <w:p w14:paraId="4155FE9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 色彩还原指数(RA)≥96。</w:t>
      </w:r>
    </w:p>
    <w:p w14:paraId="1B88F45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 对红色的色彩还原指数(R9)≥96。</w:t>
      </w:r>
    </w:p>
    <w:p w14:paraId="5D25A12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 医生头部温升≤1℃，术野温升≤1℃。</w:t>
      </w:r>
    </w:p>
    <w:p w14:paraId="3366423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 选配中置摄像头可不移动灯头单独进行≥330°旋转，摄像</w:t>
      </w:r>
      <w:bookmarkStart w:id="0" w:name="_GoBack"/>
      <w:bookmarkEnd w:id="0"/>
      <w:r>
        <w:rPr>
          <w:rFonts w:hint="eastAsia" w:ascii="宋体" w:hAnsi="宋体" w:eastAsia="宋体" w:cs="宋体"/>
          <w:sz w:val="24"/>
          <w:szCs w:val="24"/>
          <w:lang w:val="en-US" w:eastAsia="zh-CN"/>
        </w:rPr>
        <w:t>画面随摄像头旋转变化。(提供原厂彩页说明)</w:t>
      </w:r>
    </w:p>
    <w:p w14:paraId="1FC9DD0B">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二、配置要求/套：</w:t>
      </w:r>
    </w:p>
    <w:p w14:paraId="5618E77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悬吊系统1个</w:t>
      </w:r>
    </w:p>
    <w:p w14:paraId="603A54A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装饰罩1个</w:t>
      </w:r>
    </w:p>
    <w:p w14:paraId="4A829D9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弾簧旋转臂2个</w:t>
      </w:r>
    </w:p>
    <w:p w14:paraId="451416D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母灯灯头2个</w:t>
      </w:r>
    </w:p>
    <w:p w14:paraId="56E3608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可消毒手枘4个</w:t>
      </w:r>
    </w:p>
    <w:p w14:paraId="3E4B7D97">
      <w:pPr>
        <w:pStyle w:val="4"/>
        <w:widowControl w:val="0"/>
        <w:numPr>
          <w:numId w:val="0"/>
        </w:numPr>
        <w:jc w:val="both"/>
        <w:rPr>
          <w:rFonts w:hint="eastAsia"/>
        </w:rPr>
      </w:pPr>
    </w:p>
    <w:p w14:paraId="6B323696">
      <w:pP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、服务要求</w:t>
      </w:r>
    </w:p>
    <w:p w14:paraId="3F12B1A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1.提供安装和调试服务，确保产品正确安装并能正常使用。</w:t>
      </w:r>
    </w:p>
    <w:p w14:paraId="4B3513B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2.提供操作培训，使科室工作人员能够熟练掌握产品的使用方法。</w:t>
      </w:r>
    </w:p>
    <w:p w14:paraId="4DC4411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3.提供≥3年的免费保修期，在此期间内非人为损坏由供应商负责免费维修或更换。</w:t>
      </w:r>
    </w:p>
    <w:p w14:paraId="7F1D0C83">
      <w:pPr>
        <w:rPr>
          <w:rFonts w:hint="eastAsia" w:ascii="宋体" w:hAnsi="宋体" w:cs="宋体"/>
          <w:b/>
          <w:bCs/>
          <w:sz w:val="24"/>
          <w:szCs w:val="24"/>
          <w:lang w:val="en-US" w:eastAsia="zh-CN"/>
        </w:rPr>
      </w:pPr>
    </w:p>
    <w:p w14:paraId="4AA37A54">
      <w:pP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、商务要求</w:t>
      </w:r>
    </w:p>
    <w:p w14:paraId="0D5ED7F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1.时间要求:中标供应商应在接到送货通知后7天内完成设备的交付，并在15天内完成安装调试。</w:t>
      </w:r>
    </w:p>
    <w:p w14:paraId="567E02C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2.地点要求:交货地点院方指定地点。</w:t>
      </w:r>
    </w:p>
    <w:p w14:paraId="1D74BD0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3.财务要求:货到交货地点并经验收合格后，在货物验收合格和收到厂家开具的等额增值税普通发票等付款材料之日起30个工作日内向乙方支付100%货款。</w:t>
      </w:r>
    </w:p>
    <w:p w14:paraId="17AE2C8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4.包装与运输:设备需采用防震包装，确保运输过程中的安全。运输费用由供应商承担，运输途中的一切风险由供应商负责。</w:t>
      </w:r>
    </w:p>
    <w:p w14:paraId="7F7823DD">
      <w:pPr>
        <w:rPr>
          <w:rFonts w:hint="default"/>
          <w:lang w:val="en-US" w:eastAsia="zh-CN"/>
        </w:rPr>
      </w:pPr>
      <w:r>
        <w:rPr>
          <w:rFonts w:hint="eastAsia" w:ascii="宋体" w:hAnsi="宋体" w:eastAsia="宋体" w:cs="宋体"/>
          <w:sz w:val="24"/>
          <w:szCs w:val="24"/>
          <w:lang w:val="en-US" w:eastAsia="zh-CN"/>
        </w:rPr>
        <w:t>5.需遵守医院供应商管理规定（规定详见医院官网-采购公告置顶内容）</w:t>
      </w:r>
    </w:p>
    <w:p w14:paraId="13092506">
      <w:pPr>
        <w:numPr>
          <w:ilvl w:val="0"/>
          <w:numId w:val="0"/>
        </w:numPr>
        <w:ind w:leftChars="0"/>
        <w:rPr>
          <w:rFonts w:hint="default"/>
          <w:lang w:val="en-US" w:eastAsia="zh-CN"/>
        </w:rPr>
      </w:pPr>
    </w:p>
    <w:p w14:paraId="026BA5C0">
      <w:pPr>
        <w:pStyle w:val="4"/>
        <w:widowControl w:val="0"/>
        <w:numPr>
          <w:numId w:val="0"/>
        </w:numPr>
        <w:jc w:val="both"/>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DD"/>
    <w:rsid w:val="000C5C29"/>
    <w:rsid w:val="00272D59"/>
    <w:rsid w:val="00421560"/>
    <w:rsid w:val="005816DD"/>
    <w:rsid w:val="00911D12"/>
    <w:rsid w:val="00CA12ED"/>
    <w:rsid w:val="103B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580</Words>
  <Characters>646</Characters>
  <Lines>4</Lines>
  <Paragraphs>1</Paragraphs>
  <TotalTime>2</TotalTime>
  <ScaleCrop>false</ScaleCrop>
  <LinksUpToDate>false</LinksUpToDate>
  <CharactersWithSpaces>647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2024-03-05T07:10:00Z</dcterms:created>
  <dc:creator>YJY</dc:creator>
  <cp:lastModifiedBy>Zhou</cp:lastModifiedBy>
  <cp:lastPrinted>2025-09-17T03:49:07Z</cp:lastPrinted>
  <dcterms:modified xsi:type="dcterms:W3CDTF">2025-09-17T03:49:12Z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eyJoZGlkIjoiZTFiM2EyNGE3MjNjMjNhZDJjODg2M2NlYzc0MDIxZmUiLCJ1c2VySWQiOiIxNjU3NTQxMjg3In0=</vt:lpwstr>
  </property>
  <property fmtid="{D5CDD505-2E9C-101B-9397-08002B2CF9AE}" pid="3" name="KSOProductBuildVer">
    <vt:lpwstr>2052-12.1.0.20784</vt:lpwstr>
  </property>
  <property fmtid="{D5CDD505-2E9C-101B-9397-08002B2CF9AE}" pid="4" name="ICV">
    <vt:lpwstr>D715FE55E5324C5FB942555558EDADE2_12</vt:lpwstr>
  </property>
</Properties>
</file>