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CFCB5">
      <w:pPr>
        <w:spacing w:line="240" w:lineRule="auto"/>
        <w:ind w:left="-425" w:leftChars="-193" w:right="-144"/>
        <w:rPr>
          <w:rFonts w:ascii="宋体" w:hAnsi="宋体" w:eastAsia="宋体"/>
          <w:b/>
          <w:sz w:val="21"/>
          <w:szCs w:val="28"/>
        </w:rPr>
      </w:pPr>
      <w:r>
        <w:rPr>
          <w:rFonts w:hint="eastAsia" w:ascii="宋体" w:hAnsi="宋体" w:eastAsia="宋体"/>
          <w:b/>
          <w:sz w:val="21"/>
          <w:szCs w:val="28"/>
        </w:rPr>
        <w:t>技术参数：</w:t>
      </w:r>
      <w:bookmarkStart w:id="0" w:name="_GoBack"/>
      <w:bookmarkEnd w:id="0"/>
    </w:p>
    <w:p w14:paraId="23E09A6F">
      <w:pPr>
        <w:spacing w:after="0" w:line="240" w:lineRule="auto"/>
        <w:ind w:left="-425" w:leftChars="-193" w:right="-144"/>
        <w:rPr>
          <w:rFonts w:ascii="宋体" w:hAnsi="宋体" w:eastAsia="宋体"/>
          <w:sz w:val="21"/>
          <w:szCs w:val="28"/>
        </w:rPr>
      </w:pPr>
      <w:r>
        <w:rPr>
          <w:rFonts w:hint="eastAsia" w:ascii="宋体" w:hAnsi="宋体" w:eastAsia="宋体" w:cs="华文细黑"/>
          <w:sz w:val="21"/>
          <w:szCs w:val="28"/>
        </w:rPr>
        <w:t>一、可对早产儿进行黄疸测量，直接读取血清总胆红素值的无创检测</w:t>
      </w:r>
      <w:r>
        <w:rPr>
          <w:rFonts w:ascii="宋体" w:hAnsi="宋体" w:eastAsia="宋体" w:cs="华文细黑"/>
          <w:sz w:val="21"/>
          <w:szCs w:val="28"/>
        </w:rPr>
        <w:t>设备。</w:t>
      </w:r>
    </w:p>
    <w:p w14:paraId="6985067E">
      <w:pPr>
        <w:autoSpaceDE w:val="0"/>
        <w:autoSpaceDN w:val="0"/>
        <w:adjustRightInd w:val="0"/>
        <w:spacing w:after="0" w:line="240" w:lineRule="auto"/>
        <w:ind w:left="-425" w:leftChars="-193"/>
        <w:rPr>
          <w:rFonts w:ascii="宋体" w:hAnsi="宋体" w:eastAsia="宋体" w:cs="华文细黑"/>
          <w:sz w:val="21"/>
          <w:szCs w:val="28"/>
        </w:rPr>
      </w:pPr>
      <w:r>
        <w:rPr>
          <w:rFonts w:hint="eastAsia" w:ascii="宋体" w:hAnsi="宋体" w:eastAsia="宋体" w:cs="华文细黑"/>
          <w:sz w:val="21"/>
          <w:szCs w:val="28"/>
        </w:rPr>
        <w:t>1.测量原理：双光程测量双波长的光学浓度差来确定皮下组织的黄度，适合所有肤色条件</w:t>
      </w:r>
    </w:p>
    <w:p w14:paraId="4B2DA8E8">
      <w:pPr>
        <w:autoSpaceDE w:val="0"/>
        <w:autoSpaceDN w:val="0"/>
        <w:adjustRightInd w:val="0"/>
        <w:spacing w:after="0" w:line="240" w:lineRule="auto"/>
        <w:ind w:left="-425" w:leftChars="-193"/>
        <w:rPr>
          <w:rFonts w:ascii="宋体" w:hAnsi="宋体" w:eastAsia="宋体" w:cs="华文细黑"/>
          <w:sz w:val="21"/>
          <w:szCs w:val="28"/>
        </w:rPr>
      </w:pPr>
      <w:r>
        <w:rPr>
          <w:rFonts w:hint="eastAsia" w:ascii="宋体" w:hAnsi="宋体" w:eastAsia="宋体" w:cs="华文细黑"/>
          <w:sz w:val="21"/>
          <w:szCs w:val="28"/>
        </w:rPr>
        <w:t>2.光源：脉冲氙弧灯，灯炮使用寿命较长（≥15万次测量）</w:t>
      </w:r>
    </w:p>
    <w:p w14:paraId="48142F99">
      <w:pPr>
        <w:autoSpaceDE w:val="0"/>
        <w:autoSpaceDN w:val="0"/>
        <w:adjustRightInd w:val="0"/>
        <w:spacing w:after="0" w:line="240" w:lineRule="auto"/>
        <w:ind w:left="-425" w:leftChars="-193"/>
        <w:rPr>
          <w:rFonts w:ascii="宋体" w:hAnsi="宋体" w:eastAsia="宋体" w:cs="华文细黑"/>
          <w:sz w:val="21"/>
          <w:szCs w:val="28"/>
        </w:rPr>
      </w:pPr>
      <w:r>
        <w:rPr>
          <w:rFonts w:hint="eastAsia" w:ascii="宋体" w:hAnsi="宋体" w:eastAsia="宋体" w:cs="华文细黑"/>
          <w:sz w:val="21"/>
          <w:szCs w:val="28"/>
        </w:rPr>
        <w:t>3.中文触屏操作：采用点阵式LCD中文触摸屏为操作界面，查看方便，操作简单，同一屏幕可显示≥3个检测数据。</w:t>
      </w:r>
    </w:p>
    <w:p w14:paraId="066EA87D">
      <w:pPr>
        <w:autoSpaceDE w:val="0"/>
        <w:autoSpaceDN w:val="0"/>
        <w:adjustRightInd w:val="0"/>
        <w:spacing w:after="0" w:line="240" w:lineRule="auto"/>
        <w:ind w:left="-425" w:leftChars="-193"/>
        <w:rPr>
          <w:rFonts w:ascii="宋体" w:hAnsi="宋体" w:eastAsia="宋体" w:cs="华文细黑"/>
          <w:sz w:val="21"/>
          <w:szCs w:val="28"/>
        </w:rPr>
      </w:pPr>
      <w:r>
        <w:rPr>
          <w:rFonts w:hint="eastAsia" w:ascii="宋体" w:hAnsi="宋体" w:eastAsia="宋体" w:cs="华文细黑"/>
          <w:sz w:val="21"/>
          <w:szCs w:val="28"/>
        </w:rPr>
        <w:t>4.重量（包括内置电池）≤210克</w:t>
      </w:r>
    </w:p>
    <w:p w14:paraId="04AA25B3">
      <w:pPr>
        <w:autoSpaceDE w:val="0"/>
        <w:autoSpaceDN w:val="0"/>
        <w:adjustRightInd w:val="0"/>
        <w:spacing w:after="0" w:line="240" w:lineRule="auto"/>
        <w:ind w:left="-425" w:leftChars="-193"/>
        <w:rPr>
          <w:rFonts w:ascii="宋体" w:hAnsi="宋体" w:eastAsia="宋体" w:cs="华文细黑"/>
          <w:sz w:val="21"/>
          <w:szCs w:val="28"/>
        </w:rPr>
      </w:pPr>
      <w:r>
        <w:rPr>
          <w:rFonts w:hint="eastAsia" w:ascii="宋体" w:hAnsi="宋体" w:eastAsia="宋体" w:cs="华文细黑"/>
          <w:sz w:val="21"/>
          <w:szCs w:val="28"/>
        </w:rPr>
        <w:t>5.充电基座综合校验器功能</w:t>
      </w:r>
    </w:p>
    <w:p w14:paraId="0D8AC27C">
      <w:pPr>
        <w:autoSpaceDE w:val="0"/>
        <w:autoSpaceDN w:val="0"/>
        <w:adjustRightInd w:val="0"/>
        <w:spacing w:after="0" w:line="240" w:lineRule="auto"/>
        <w:ind w:left="-425" w:leftChars="-193"/>
        <w:rPr>
          <w:rFonts w:ascii="宋体" w:hAnsi="宋体" w:eastAsia="宋体" w:cs="华文细黑"/>
          <w:sz w:val="21"/>
          <w:szCs w:val="28"/>
        </w:rPr>
      </w:pPr>
      <w:r>
        <w:rPr>
          <w:rFonts w:ascii="宋体" w:hAnsi="宋体" w:eastAsia="宋体" w:cs="华文细黑"/>
          <w:sz w:val="21"/>
          <w:szCs w:val="28"/>
        </w:rPr>
        <w:t>6</w:t>
      </w:r>
      <w:r>
        <w:rPr>
          <w:rFonts w:hint="eastAsia" w:ascii="宋体" w:hAnsi="宋体" w:eastAsia="宋体" w:cs="华文细黑"/>
          <w:sz w:val="21"/>
          <w:szCs w:val="28"/>
        </w:rPr>
        <w:t>.超大数据存储：可储存≥100个患者的数据</w:t>
      </w:r>
    </w:p>
    <w:p w14:paraId="498DAED2">
      <w:pPr>
        <w:autoSpaceDE w:val="0"/>
        <w:autoSpaceDN w:val="0"/>
        <w:adjustRightInd w:val="0"/>
        <w:spacing w:after="0" w:line="240" w:lineRule="auto"/>
        <w:ind w:left="-425" w:leftChars="-193"/>
        <w:rPr>
          <w:rFonts w:ascii="宋体" w:hAnsi="宋体" w:eastAsia="宋体" w:cs="华文细黑"/>
          <w:sz w:val="21"/>
          <w:szCs w:val="28"/>
        </w:rPr>
      </w:pPr>
      <w:r>
        <w:rPr>
          <w:rFonts w:ascii="宋体" w:hAnsi="宋体" w:eastAsia="宋体" w:cs="华文细黑"/>
          <w:sz w:val="21"/>
          <w:szCs w:val="28"/>
        </w:rPr>
        <w:t>7</w:t>
      </w:r>
      <w:r>
        <w:rPr>
          <w:rFonts w:hint="eastAsia" w:ascii="宋体" w:hAnsi="宋体" w:eastAsia="宋体" w:cs="华文细黑"/>
          <w:sz w:val="21"/>
          <w:szCs w:val="28"/>
        </w:rPr>
        <w:t>.条码识别功能：利用条形码读码器的扫描功能快速、准确的核对、录入医生、患者ID。</w:t>
      </w:r>
    </w:p>
    <w:p w14:paraId="19B85C25">
      <w:pPr>
        <w:autoSpaceDE w:val="0"/>
        <w:autoSpaceDN w:val="0"/>
        <w:adjustRightInd w:val="0"/>
        <w:spacing w:after="0" w:line="240" w:lineRule="auto"/>
        <w:ind w:left="-425" w:leftChars="-193"/>
        <w:rPr>
          <w:rFonts w:ascii="宋体" w:hAnsi="宋体" w:eastAsia="宋体" w:cs="华文细黑"/>
          <w:sz w:val="21"/>
          <w:szCs w:val="28"/>
        </w:rPr>
      </w:pPr>
      <w:r>
        <w:rPr>
          <w:rFonts w:ascii="宋体" w:hAnsi="宋体" w:eastAsia="宋体" w:cs="华文细黑"/>
          <w:sz w:val="21"/>
          <w:szCs w:val="28"/>
        </w:rPr>
        <w:t>8</w:t>
      </w:r>
      <w:r>
        <w:rPr>
          <w:rFonts w:hint="eastAsia" w:ascii="宋体" w:hAnsi="宋体" w:eastAsia="宋体" w:cs="华文细黑"/>
          <w:sz w:val="21"/>
          <w:szCs w:val="28"/>
        </w:rPr>
        <w:t>.内置电池：可充电，充满电可测量次数≥250次</w:t>
      </w:r>
    </w:p>
    <w:p w14:paraId="20EAFC4A">
      <w:pPr>
        <w:autoSpaceDE w:val="0"/>
        <w:autoSpaceDN w:val="0"/>
        <w:adjustRightInd w:val="0"/>
        <w:spacing w:after="0" w:line="240" w:lineRule="auto"/>
        <w:ind w:left="-425" w:leftChars="-193"/>
        <w:rPr>
          <w:rFonts w:ascii="宋体" w:hAnsi="宋体" w:eastAsia="宋体" w:cs="华文细黑"/>
          <w:sz w:val="21"/>
          <w:szCs w:val="28"/>
        </w:rPr>
      </w:pPr>
      <w:r>
        <w:rPr>
          <w:rFonts w:ascii="宋体" w:hAnsi="宋体" w:eastAsia="宋体" w:cs="华文细黑"/>
          <w:sz w:val="21"/>
          <w:szCs w:val="28"/>
        </w:rPr>
        <w:t>9</w:t>
      </w:r>
      <w:r>
        <w:rPr>
          <w:rFonts w:hint="eastAsia" w:ascii="宋体" w:hAnsi="宋体" w:eastAsia="宋体" w:cs="华文细黑"/>
          <w:sz w:val="21"/>
          <w:szCs w:val="28"/>
        </w:rPr>
        <w:t>.可预设平均次数，并自动计算平均值</w:t>
      </w:r>
    </w:p>
    <w:tbl>
      <w:tblPr>
        <w:tblStyle w:val="5"/>
        <w:tblpPr w:leftFromText="180" w:rightFromText="180" w:vertAnchor="text" w:horzAnchor="margin" w:tblpY="524"/>
        <w:tblW w:w="5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813"/>
        <w:gridCol w:w="701"/>
        <w:gridCol w:w="683"/>
      </w:tblGrid>
      <w:tr w14:paraId="6C67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68" w:type="dxa"/>
          </w:tcPr>
          <w:p w14:paraId="41C82B94">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序号</w:t>
            </w:r>
          </w:p>
        </w:tc>
        <w:tc>
          <w:tcPr>
            <w:tcW w:w="2813" w:type="dxa"/>
          </w:tcPr>
          <w:p w14:paraId="1D9B1120">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物品名称</w:t>
            </w:r>
          </w:p>
        </w:tc>
        <w:tc>
          <w:tcPr>
            <w:tcW w:w="701" w:type="dxa"/>
          </w:tcPr>
          <w:p w14:paraId="799A2345">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数量</w:t>
            </w:r>
          </w:p>
        </w:tc>
        <w:tc>
          <w:tcPr>
            <w:tcW w:w="683" w:type="dxa"/>
          </w:tcPr>
          <w:p w14:paraId="187D011E">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单位</w:t>
            </w:r>
          </w:p>
        </w:tc>
      </w:tr>
      <w:tr w14:paraId="7747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68" w:type="dxa"/>
          </w:tcPr>
          <w:p w14:paraId="6B6A0000">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1</w:t>
            </w:r>
          </w:p>
        </w:tc>
        <w:tc>
          <w:tcPr>
            <w:tcW w:w="2813" w:type="dxa"/>
          </w:tcPr>
          <w:p w14:paraId="2D27F06A">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黄疸检测仪主机</w:t>
            </w:r>
          </w:p>
        </w:tc>
        <w:tc>
          <w:tcPr>
            <w:tcW w:w="701" w:type="dxa"/>
          </w:tcPr>
          <w:p w14:paraId="50752C5F">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1</w:t>
            </w:r>
          </w:p>
        </w:tc>
        <w:tc>
          <w:tcPr>
            <w:tcW w:w="683" w:type="dxa"/>
          </w:tcPr>
          <w:p w14:paraId="37A92100">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台</w:t>
            </w:r>
          </w:p>
        </w:tc>
      </w:tr>
      <w:tr w14:paraId="5F0B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68" w:type="dxa"/>
          </w:tcPr>
          <w:p w14:paraId="684FAA50">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2</w:t>
            </w:r>
          </w:p>
        </w:tc>
        <w:tc>
          <w:tcPr>
            <w:tcW w:w="2813" w:type="dxa"/>
          </w:tcPr>
          <w:p w14:paraId="5091CFE6">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黄疸检测仪充电基座</w:t>
            </w:r>
          </w:p>
        </w:tc>
        <w:tc>
          <w:tcPr>
            <w:tcW w:w="701" w:type="dxa"/>
          </w:tcPr>
          <w:p w14:paraId="25F45208">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1</w:t>
            </w:r>
          </w:p>
        </w:tc>
        <w:tc>
          <w:tcPr>
            <w:tcW w:w="683" w:type="dxa"/>
          </w:tcPr>
          <w:p w14:paraId="0EF96C06">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个</w:t>
            </w:r>
          </w:p>
        </w:tc>
      </w:tr>
      <w:tr w14:paraId="1AEC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68" w:type="dxa"/>
          </w:tcPr>
          <w:p w14:paraId="467A16A0">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3</w:t>
            </w:r>
          </w:p>
        </w:tc>
        <w:tc>
          <w:tcPr>
            <w:tcW w:w="2813" w:type="dxa"/>
          </w:tcPr>
          <w:p w14:paraId="52A748BD">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黄疸检测仪条形码扫码器</w:t>
            </w:r>
          </w:p>
        </w:tc>
        <w:tc>
          <w:tcPr>
            <w:tcW w:w="701" w:type="dxa"/>
          </w:tcPr>
          <w:p w14:paraId="3A263AD3">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1</w:t>
            </w:r>
          </w:p>
        </w:tc>
        <w:tc>
          <w:tcPr>
            <w:tcW w:w="683" w:type="dxa"/>
          </w:tcPr>
          <w:p w14:paraId="031C05B5">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套</w:t>
            </w:r>
          </w:p>
        </w:tc>
      </w:tr>
      <w:tr w14:paraId="72C9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68" w:type="dxa"/>
          </w:tcPr>
          <w:p w14:paraId="7CDF88B5">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4</w:t>
            </w:r>
          </w:p>
        </w:tc>
        <w:tc>
          <w:tcPr>
            <w:tcW w:w="2813" w:type="dxa"/>
          </w:tcPr>
          <w:p w14:paraId="502950FF">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黄疸检测仪操作手册</w:t>
            </w:r>
          </w:p>
        </w:tc>
        <w:tc>
          <w:tcPr>
            <w:tcW w:w="701" w:type="dxa"/>
          </w:tcPr>
          <w:p w14:paraId="18FB78A9">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1</w:t>
            </w:r>
          </w:p>
        </w:tc>
        <w:tc>
          <w:tcPr>
            <w:tcW w:w="683" w:type="dxa"/>
          </w:tcPr>
          <w:p w14:paraId="3F3D5844">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份</w:t>
            </w:r>
          </w:p>
        </w:tc>
      </w:tr>
      <w:tr w14:paraId="49AC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68" w:type="dxa"/>
          </w:tcPr>
          <w:p w14:paraId="5FFF5F93">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5</w:t>
            </w:r>
          </w:p>
        </w:tc>
        <w:tc>
          <w:tcPr>
            <w:tcW w:w="2813" w:type="dxa"/>
          </w:tcPr>
          <w:p w14:paraId="692BAD29">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黄疸检测仪电源线</w:t>
            </w:r>
          </w:p>
        </w:tc>
        <w:tc>
          <w:tcPr>
            <w:tcW w:w="701" w:type="dxa"/>
          </w:tcPr>
          <w:p w14:paraId="258F9416">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1</w:t>
            </w:r>
          </w:p>
        </w:tc>
        <w:tc>
          <w:tcPr>
            <w:tcW w:w="683" w:type="dxa"/>
          </w:tcPr>
          <w:p w14:paraId="0A7FCF18">
            <w:pPr>
              <w:spacing w:after="0" w:line="240" w:lineRule="auto"/>
              <w:contextualSpacing/>
              <w:jc w:val="center"/>
              <w:rPr>
                <w:rFonts w:ascii="宋体" w:hAnsi="宋体" w:eastAsia="宋体" w:cs="华文细黑"/>
                <w:sz w:val="21"/>
                <w:szCs w:val="28"/>
              </w:rPr>
            </w:pPr>
            <w:r>
              <w:rPr>
                <w:rFonts w:hint="eastAsia" w:ascii="宋体" w:hAnsi="宋体" w:eastAsia="宋体" w:cs="华文细黑"/>
                <w:sz w:val="21"/>
                <w:szCs w:val="28"/>
              </w:rPr>
              <w:t>根</w:t>
            </w:r>
          </w:p>
        </w:tc>
      </w:tr>
    </w:tbl>
    <w:p w14:paraId="4D11CA24">
      <w:pPr>
        <w:autoSpaceDE w:val="0"/>
        <w:autoSpaceDN w:val="0"/>
        <w:adjustRightInd w:val="0"/>
        <w:spacing w:before="100" w:beforeAutospacing="1" w:after="100" w:afterAutospacing="1" w:line="360" w:lineRule="auto"/>
        <w:ind w:left="-425" w:leftChars="-193"/>
        <w:rPr>
          <w:rFonts w:ascii="宋体" w:hAnsi="宋体" w:eastAsia="宋体" w:cs="华文细黑"/>
          <w:sz w:val="21"/>
          <w:szCs w:val="28"/>
        </w:rPr>
      </w:pPr>
    </w:p>
    <w:p w14:paraId="11C8AD83">
      <w:pPr>
        <w:autoSpaceDE w:val="0"/>
        <w:autoSpaceDN w:val="0"/>
        <w:adjustRightInd w:val="0"/>
        <w:spacing w:before="100" w:beforeAutospacing="1" w:after="100" w:afterAutospacing="1" w:line="360" w:lineRule="auto"/>
        <w:ind w:left="-425" w:leftChars="-193"/>
        <w:rPr>
          <w:rFonts w:ascii="宋体" w:hAnsi="宋体" w:eastAsia="宋体" w:cs="华文细黑"/>
          <w:sz w:val="21"/>
          <w:szCs w:val="28"/>
        </w:rPr>
      </w:pPr>
    </w:p>
    <w:p w14:paraId="504E246E">
      <w:pPr>
        <w:autoSpaceDE w:val="0"/>
        <w:autoSpaceDN w:val="0"/>
        <w:adjustRightInd w:val="0"/>
        <w:spacing w:before="100" w:beforeAutospacing="1" w:after="100" w:afterAutospacing="1" w:line="360" w:lineRule="auto"/>
        <w:ind w:left="-425" w:leftChars="-193"/>
        <w:rPr>
          <w:rFonts w:ascii="宋体" w:hAnsi="宋体" w:eastAsia="宋体" w:cs="华文细黑"/>
          <w:sz w:val="21"/>
          <w:szCs w:val="28"/>
        </w:rPr>
      </w:pPr>
    </w:p>
    <w:p w14:paraId="322307E4">
      <w:pPr>
        <w:autoSpaceDE w:val="0"/>
        <w:autoSpaceDN w:val="0"/>
        <w:adjustRightInd w:val="0"/>
        <w:spacing w:before="100" w:beforeAutospacing="1" w:after="100" w:afterAutospacing="1" w:line="360" w:lineRule="auto"/>
        <w:ind w:left="-425" w:leftChars="-193"/>
        <w:rPr>
          <w:rFonts w:ascii="宋体" w:hAnsi="宋体" w:eastAsia="宋体" w:cs="华文细黑"/>
          <w:sz w:val="21"/>
          <w:szCs w:val="28"/>
        </w:rPr>
      </w:pPr>
    </w:p>
    <w:p w14:paraId="27E134EF">
      <w:pPr>
        <w:rPr>
          <w:rFonts w:ascii="宋体" w:hAnsi="宋体" w:eastAsia="宋体" w:cs="华文细黑"/>
          <w:sz w:val="21"/>
          <w:szCs w:val="28"/>
        </w:rPr>
      </w:pPr>
      <w:r>
        <w:rPr>
          <w:rFonts w:ascii="宋体" w:hAnsi="宋体" w:eastAsia="宋体" w:cs="华文细黑"/>
          <w:sz w:val="21"/>
          <w:szCs w:val="28"/>
        </w:rPr>
        <w:br w:type="page"/>
      </w:r>
    </w:p>
    <w:p w14:paraId="43531186">
      <w:pPr>
        <w:autoSpaceDE w:val="0"/>
        <w:autoSpaceDN w:val="0"/>
        <w:adjustRightInd w:val="0"/>
        <w:spacing w:after="0" w:line="240" w:lineRule="auto"/>
        <w:ind w:left="-425" w:leftChars="-193"/>
        <w:rPr>
          <w:rFonts w:hint="eastAsia" w:ascii="宋体" w:hAnsi="宋体" w:eastAsia="宋体" w:cs="华文细黑"/>
          <w:b/>
          <w:sz w:val="21"/>
          <w:szCs w:val="28"/>
        </w:rPr>
      </w:pPr>
      <w:r>
        <w:rPr>
          <w:rFonts w:hint="eastAsia" w:ascii="宋体" w:hAnsi="宋体" w:eastAsia="宋体" w:cs="华文细黑"/>
          <w:b/>
          <w:sz w:val="21"/>
          <w:szCs w:val="28"/>
        </w:rPr>
        <w:t>服务要求</w:t>
      </w:r>
    </w:p>
    <w:p w14:paraId="01D582BA">
      <w:pPr>
        <w:autoSpaceDE w:val="0"/>
        <w:autoSpaceDN w:val="0"/>
        <w:adjustRightInd w:val="0"/>
        <w:spacing w:after="0" w:line="240" w:lineRule="auto"/>
        <w:ind w:left="-425" w:leftChars="-193"/>
        <w:rPr>
          <w:rFonts w:hint="eastAsia" w:ascii="宋体" w:hAnsi="宋体" w:eastAsia="宋体" w:cs="华文细黑"/>
          <w:sz w:val="21"/>
          <w:szCs w:val="28"/>
        </w:rPr>
      </w:pPr>
      <w:r>
        <w:rPr>
          <w:rFonts w:hint="eastAsia" w:ascii="宋体" w:hAnsi="宋体" w:eastAsia="宋体" w:cs="华文细黑"/>
          <w:sz w:val="21"/>
          <w:szCs w:val="28"/>
        </w:rPr>
        <w:t>1、提供详细的产品使用说明书和操作指南。</w:t>
      </w:r>
    </w:p>
    <w:p w14:paraId="6332939E">
      <w:pPr>
        <w:autoSpaceDE w:val="0"/>
        <w:autoSpaceDN w:val="0"/>
        <w:adjustRightInd w:val="0"/>
        <w:spacing w:after="0" w:line="240" w:lineRule="auto"/>
        <w:ind w:left="-425" w:leftChars="-193"/>
        <w:rPr>
          <w:rFonts w:hint="eastAsia" w:ascii="宋体" w:hAnsi="宋体" w:eastAsia="宋体" w:cs="华文细黑"/>
          <w:sz w:val="21"/>
          <w:szCs w:val="28"/>
        </w:rPr>
      </w:pPr>
      <w:r>
        <w:rPr>
          <w:rFonts w:hint="eastAsia" w:ascii="宋体" w:hAnsi="宋体" w:eastAsia="宋体" w:cs="华文细黑"/>
          <w:sz w:val="21"/>
          <w:szCs w:val="28"/>
        </w:rPr>
        <w:t>2、提供安装和调试服务，确保产品正确安装并能正常使用。</w:t>
      </w:r>
    </w:p>
    <w:p w14:paraId="7E1FE596">
      <w:pPr>
        <w:autoSpaceDE w:val="0"/>
        <w:autoSpaceDN w:val="0"/>
        <w:adjustRightInd w:val="0"/>
        <w:spacing w:after="0" w:line="240" w:lineRule="auto"/>
        <w:ind w:left="-425" w:leftChars="-193"/>
        <w:rPr>
          <w:rFonts w:hint="eastAsia" w:ascii="宋体" w:hAnsi="宋体" w:eastAsia="宋体" w:cs="华文细黑"/>
          <w:sz w:val="21"/>
          <w:szCs w:val="28"/>
        </w:rPr>
      </w:pPr>
      <w:r>
        <w:rPr>
          <w:rFonts w:hint="eastAsia" w:ascii="宋体" w:hAnsi="宋体" w:eastAsia="宋体" w:cs="华文细黑"/>
          <w:sz w:val="21"/>
          <w:szCs w:val="28"/>
        </w:rPr>
        <w:t>3、提供操作培训，使科室工作人员能够熟练掌握产品的使用方法。</w:t>
      </w:r>
    </w:p>
    <w:p w14:paraId="4FC0B6B8">
      <w:pPr>
        <w:autoSpaceDE w:val="0"/>
        <w:autoSpaceDN w:val="0"/>
        <w:adjustRightInd w:val="0"/>
        <w:spacing w:after="0" w:line="240" w:lineRule="auto"/>
        <w:ind w:left="-425" w:leftChars="-193"/>
        <w:rPr>
          <w:rFonts w:hint="eastAsia" w:ascii="宋体" w:hAnsi="宋体" w:eastAsia="宋体" w:cs="华文细黑"/>
          <w:sz w:val="21"/>
          <w:szCs w:val="28"/>
        </w:rPr>
      </w:pPr>
      <w:r>
        <w:rPr>
          <w:rFonts w:hint="eastAsia" w:ascii="宋体" w:hAnsi="宋体" w:eastAsia="宋体" w:cs="华文细黑"/>
          <w:sz w:val="21"/>
          <w:szCs w:val="28"/>
        </w:rPr>
        <w:t>4、提供≥3年的免费保修期，在此期间内非人为损坏由供应商负责免费维修或更换。</w:t>
      </w:r>
    </w:p>
    <w:p w14:paraId="0362862D">
      <w:pPr>
        <w:autoSpaceDE w:val="0"/>
        <w:autoSpaceDN w:val="0"/>
        <w:adjustRightInd w:val="0"/>
        <w:spacing w:after="0" w:line="240" w:lineRule="auto"/>
        <w:ind w:left="-425" w:leftChars="-193"/>
        <w:rPr>
          <w:rFonts w:ascii="宋体" w:hAnsi="宋体" w:eastAsia="宋体" w:cs="华文细黑"/>
          <w:sz w:val="21"/>
          <w:szCs w:val="28"/>
        </w:rPr>
      </w:pPr>
    </w:p>
    <w:p w14:paraId="26345B42">
      <w:pPr>
        <w:autoSpaceDE w:val="0"/>
        <w:autoSpaceDN w:val="0"/>
        <w:adjustRightInd w:val="0"/>
        <w:spacing w:after="0" w:line="240" w:lineRule="auto"/>
        <w:ind w:left="-425" w:leftChars="-193"/>
        <w:rPr>
          <w:rFonts w:hint="eastAsia" w:ascii="宋体" w:hAnsi="宋体" w:eastAsia="宋体" w:cs="华文细黑"/>
          <w:b/>
          <w:sz w:val="21"/>
          <w:szCs w:val="28"/>
        </w:rPr>
      </w:pPr>
      <w:r>
        <w:rPr>
          <w:rFonts w:hint="eastAsia" w:ascii="宋体" w:hAnsi="宋体" w:eastAsia="宋体" w:cs="华文细黑"/>
          <w:b/>
          <w:sz w:val="21"/>
          <w:szCs w:val="28"/>
        </w:rPr>
        <w:t>商务要求</w:t>
      </w:r>
    </w:p>
    <w:p w14:paraId="6CB6CCCC">
      <w:pPr>
        <w:autoSpaceDE w:val="0"/>
        <w:autoSpaceDN w:val="0"/>
        <w:adjustRightInd w:val="0"/>
        <w:spacing w:after="0" w:line="240" w:lineRule="auto"/>
        <w:ind w:left="-425" w:leftChars="-193"/>
        <w:rPr>
          <w:rFonts w:hint="eastAsia" w:ascii="宋体" w:hAnsi="宋体" w:eastAsia="宋体" w:cs="华文细黑"/>
          <w:sz w:val="21"/>
          <w:szCs w:val="28"/>
        </w:rPr>
      </w:pPr>
      <w:r>
        <w:rPr>
          <w:rFonts w:hint="eastAsia" w:ascii="宋体" w:hAnsi="宋体" w:eastAsia="宋体" w:cs="华文细黑"/>
          <w:sz w:val="21"/>
          <w:szCs w:val="28"/>
        </w:rPr>
        <w:t>1、时间要求：中标供应商应在接到送货通知后7天内完成设备的交付，并在15天内完成安装调试。</w:t>
      </w:r>
    </w:p>
    <w:p w14:paraId="0C21D7D0">
      <w:pPr>
        <w:autoSpaceDE w:val="0"/>
        <w:autoSpaceDN w:val="0"/>
        <w:adjustRightInd w:val="0"/>
        <w:spacing w:after="0" w:line="240" w:lineRule="auto"/>
        <w:ind w:left="-425" w:leftChars="-193"/>
        <w:rPr>
          <w:rFonts w:hint="eastAsia" w:ascii="宋体" w:hAnsi="宋体" w:eastAsia="宋体" w:cs="华文细黑"/>
          <w:sz w:val="21"/>
          <w:szCs w:val="28"/>
        </w:rPr>
      </w:pPr>
      <w:r>
        <w:rPr>
          <w:rFonts w:hint="eastAsia" w:ascii="宋体" w:hAnsi="宋体" w:eastAsia="宋体" w:cs="华文细黑"/>
          <w:sz w:val="21"/>
          <w:szCs w:val="28"/>
        </w:rPr>
        <w:t>2、地点要求：交货地点院方指定地点。</w:t>
      </w:r>
    </w:p>
    <w:p w14:paraId="495176FB">
      <w:pPr>
        <w:autoSpaceDE w:val="0"/>
        <w:autoSpaceDN w:val="0"/>
        <w:adjustRightInd w:val="0"/>
        <w:spacing w:after="0" w:line="240" w:lineRule="auto"/>
        <w:ind w:left="-425" w:leftChars="-193"/>
        <w:rPr>
          <w:rFonts w:hint="eastAsia" w:ascii="宋体" w:hAnsi="宋体" w:eastAsia="宋体" w:cs="华文细黑"/>
          <w:sz w:val="21"/>
          <w:szCs w:val="28"/>
        </w:rPr>
      </w:pPr>
      <w:r>
        <w:rPr>
          <w:rFonts w:hint="eastAsia" w:ascii="宋体" w:hAnsi="宋体" w:eastAsia="宋体" w:cs="华文细黑"/>
          <w:sz w:val="21"/>
          <w:szCs w:val="28"/>
        </w:rPr>
        <w:t>3、财务要求：货到交货地点并经验收合格后，在货物验收合格和收到厂家开具的等额增值税普通发票等付款材料之日起30个工作日内向乙方支付100%货款。</w:t>
      </w:r>
    </w:p>
    <w:p w14:paraId="3A37FEE0">
      <w:pPr>
        <w:autoSpaceDE w:val="0"/>
        <w:autoSpaceDN w:val="0"/>
        <w:adjustRightInd w:val="0"/>
        <w:spacing w:after="0" w:line="240" w:lineRule="auto"/>
        <w:ind w:left="-425" w:leftChars="-193"/>
        <w:rPr>
          <w:rFonts w:hint="eastAsia" w:ascii="宋体" w:hAnsi="宋体" w:eastAsia="宋体" w:cs="华文细黑"/>
          <w:sz w:val="21"/>
          <w:szCs w:val="28"/>
        </w:rPr>
      </w:pPr>
      <w:r>
        <w:rPr>
          <w:rFonts w:hint="eastAsia" w:ascii="宋体" w:hAnsi="宋体" w:eastAsia="宋体" w:cs="华文细黑"/>
          <w:sz w:val="21"/>
          <w:szCs w:val="28"/>
        </w:rPr>
        <w:t>4、所有款项均通过银行转账方式支付。</w:t>
      </w:r>
    </w:p>
    <w:p w14:paraId="6A89960F">
      <w:pPr>
        <w:autoSpaceDE w:val="0"/>
        <w:autoSpaceDN w:val="0"/>
        <w:adjustRightInd w:val="0"/>
        <w:spacing w:after="0" w:line="240" w:lineRule="auto"/>
        <w:ind w:left="-425" w:leftChars="-193"/>
        <w:rPr>
          <w:rFonts w:hint="eastAsia" w:ascii="宋体" w:hAnsi="宋体" w:eastAsia="宋体" w:cs="华文细黑"/>
          <w:sz w:val="21"/>
          <w:szCs w:val="28"/>
        </w:rPr>
      </w:pPr>
      <w:r>
        <w:rPr>
          <w:rFonts w:hint="eastAsia" w:ascii="宋体" w:hAnsi="宋体" w:eastAsia="宋体" w:cs="华文细黑"/>
          <w:sz w:val="21"/>
          <w:szCs w:val="28"/>
        </w:rPr>
        <w:t>5、包装与运输：设备需采用防震包装，确保运输过程中的安全。运输费用由供应商承担，运输途中的一切风险由供应商负责。</w:t>
      </w:r>
    </w:p>
    <w:p w14:paraId="2F8CF992">
      <w:pPr>
        <w:autoSpaceDE w:val="0"/>
        <w:autoSpaceDN w:val="0"/>
        <w:adjustRightInd w:val="0"/>
        <w:spacing w:after="0" w:line="240" w:lineRule="auto"/>
        <w:ind w:left="-425" w:leftChars="-193"/>
        <w:rPr>
          <w:rFonts w:hint="eastAsia" w:ascii="宋体" w:hAnsi="宋体" w:eastAsia="宋体" w:cs="华文细黑"/>
          <w:sz w:val="21"/>
          <w:szCs w:val="28"/>
        </w:rPr>
      </w:pPr>
      <w:r>
        <w:rPr>
          <w:rFonts w:hint="eastAsia" w:ascii="宋体" w:hAnsi="宋体" w:eastAsia="宋体" w:cs="华文细黑"/>
          <w:sz w:val="21"/>
          <w:szCs w:val="28"/>
        </w:rPr>
        <w:t xml:space="preserve">6、需遵守医院供应商管理规定（规定详见医院官网-采购公告置顶内容）。   </w:t>
      </w:r>
    </w:p>
    <w:p w14:paraId="4868A59E">
      <w:pPr>
        <w:pStyle w:val="7"/>
        <w:autoSpaceDE w:val="0"/>
        <w:autoSpaceDN w:val="0"/>
        <w:adjustRightInd w:val="0"/>
        <w:spacing w:after="0" w:line="240" w:lineRule="auto"/>
        <w:ind w:left="-65"/>
        <w:rPr>
          <w:rFonts w:ascii="宋体" w:hAnsi="宋体" w:eastAsia="宋体" w:cs="华文细黑"/>
          <w:sz w:val="21"/>
          <w:szCs w:val="28"/>
        </w:rPr>
      </w:pPr>
    </w:p>
    <w:sectPr>
      <w:pgSz w:w="12240" w:h="15840"/>
      <w:pgMar w:top="1440" w:right="1800" w:bottom="1440" w:left="1800" w:header="720" w:footer="720"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4F0554"/>
    <w:rsid w:val="00070E0C"/>
    <w:rsid w:val="001D1717"/>
    <w:rsid w:val="00207F25"/>
    <w:rsid w:val="00372113"/>
    <w:rsid w:val="004F0554"/>
    <w:rsid w:val="0050615D"/>
    <w:rsid w:val="0076792C"/>
    <w:rsid w:val="00940A6D"/>
    <w:rsid w:val="009C7B97"/>
    <w:rsid w:val="00A12D37"/>
    <w:rsid w:val="00A4786B"/>
    <w:rsid w:val="00A70626"/>
    <w:rsid w:val="00AD6BF2"/>
    <w:rsid w:val="00CD2E8F"/>
    <w:rsid w:val="00DD0A86"/>
    <w:rsid w:val="00E14F15"/>
    <w:rsid w:val="00FF33D8"/>
    <w:rsid w:val="63DB2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line="240" w:lineRule="auto"/>
    </w:pPr>
    <w:rPr>
      <w:sz w:val="18"/>
      <w:szCs w:val="18"/>
    </w:rPr>
  </w:style>
  <w:style w:type="paragraph" w:styleId="3">
    <w:name w:val="footer"/>
    <w:basedOn w:val="1"/>
    <w:link w:val="9"/>
    <w:semiHidden/>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List Paragraph"/>
    <w:basedOn w:val="1"/>
    <w:qFormat/>
    <w:uiPriority w:val="34"/>
    <w:pPr>
      <w:ind w:left="720"/>
      <w:contextualSpacing/>
    </w:pPr>
  </w:style>
  <w:style w:type="character" w:customStyle="1" w:styleId="8">
    <w:name w:val="页眉 字符"/>
    <w:basedOn w:val="6"/>
    <w:link w:val="4"/>
    <w:semiHidden/>
    <w:qFormat/>
    <w:uiPriority w:val="99"/>
    <w:rPr>
      <w:sz w:val="18"/>
      <w:szCs w:val="18"/>
    </w:rPr>
  </w:style>
  <w:style w:type="character" w:customStyle="1" w:styleId="9">
    <w:name w:val="页脚 字符"/>
    <w:basedOn w:val="6"/>
    <w:link w:val="3"/>
    <w:semiHidden/>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716</Words>
  <Characters>745</Characters>
  <Lines>5</Lines>
  <Paragraphs>1</Paragraphs>
  <TotalTime>1</TotalTime>
  <ScaleCrop>false</ScaleCrop>
  <LinksUpToDate>false</LinksUpToDate>
  <CharactersWithSpaces>748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2026-04-24T08:35:00Z</dcterms:created>
  <dc:creator>Wang, He (Ivory)</dc:creator>
  <cp:lastModifiedBy>Anna</cp:lastModifiedBy>
  <cp:lastPrinted>2026-04-24T08:35:00Z</cp:lastPrinted>
  <dcterms:modified xsi:type="dcterms:W3CDTF">2026-04-24T09:24:20Z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eyJoZGlkIjoiZTQ3YWRkMmVjYTlmNWZjZjhmNThjYzhjMzhmZjRhMTciLCJ1c2VySWQiOiIzNDYwNjI5MDUifQ==</vt:lpwstr>
  </property>
  <property fmtid="{D5CDD505-2E9C-101B-9397-08002B2CF9AE}" pid="3" name="KSOProductBuildVer">
    <vt:lpwstr>2052-12.1.0.25865</vt:lpwstr>
  </property>
  <property fmtid="{D5CDD505-2E9C-101B-9397-08002B2CF9AE}" pid="4" name="ICV">
    <vt:lpwstr>DF82E427CF794BAC8364D922764A64B5_12</vt:lpwstr>
  </property>
</Properties>
</file>