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E095" w14:textId="4850EAC2" w:rsidR="00BA4E3F" w:rsidRDefault="00000000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胃肠动力学检查系统零部件参数需求</w:t>
      </w:r>
    </w:p>
    <w:p w14:paraId="7315989B" w14:textId="77777777" w:rsidR="00BA4E3F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设备名称：胃肠动力学检查系统</w:t>
      </w:r>
    </w:p>
    <w:p w14:paraId="1E8C6267" w14:textId="77777777" w:rsidR="00BA4E3F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品牌：GIVEN IMAGING INC.</w:t>
      </w:r>
      <w:r>
        <w:rPr>
          <w:rFonts w:hint="eastAsia"/>
        </w:rPr>
        <w:tab/>
      </w:r>
    </w:p>
    <w:p w14:paraId="0AA7D912" w14:textId="77777777" w:rsidR="00BA4E3F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</w:t>
      </w:r>
      <w:proofErr w:type="spellStart"/>
      <w:r>
        <w:rPr>
          <w:rFonts w:hint="eastAsia"/>
        </w:rPr>
        <w:t>ManoScan</w:t>
      </w:r>
      <w:proofErr w:type="spellEnd"/>
      <w:r>
        <w:rPr>
          <w:rFonts w:hint="eastAsia"/>
        </w:rPr>
        <w:t xml:space="preserve"> Motility System</w:t>
      </w:r>
    </w:p>
    <w:p w14:paraId="643F3E3C" w14:textId="3FF6A245" w:rsidR="00BA4E3F" w:rsidRDefault="009B6FAC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配件</w:t>
      </w:r>
      <w:r w:rsidR="00000000">
        <w:rPr>
          <w:rFonts w:hint="eastAsia"/>
        </w:rPr>
        <w:t>技术参数要求：</w:t>
      </w:r>
    </w:p>
    <w:p w14:paraId="69437490" w14:textId="77777777" w:rsidR="00BA4E3F" w:rsidRDefault="00000000">
      <w:pPr>
        <w:pStyle w:val="a7"/>
        <w:ind w:left="720" w:firstLineChars="0" w:firstLine="0"/>
        <w:rPr>
          <w:rFonts w:hint="eastAsia"/>
        </w:rPr>
      </w:pPr>
      <w:r>
        <w:rPr>
          <w:rFonts w:hint="eastAsia"/>
        </w:rPr>
        <w:t>1固态高分辨率环绕测压电极，电极表面光滑，无突起，患者顺应性高。</w:t>
      </w:r>
    </w:p>
    <w:p w14:paraId="5BDBA050" w14:textId="77777777" w:rsidR="00BA4E3F" w:rsidRDefault="00000000">
      <w:pPr>
        <w:pStyle w:val="a7"/>
        <w:ind w:left="720" w:firstLineChars="0" w:firstLine="0"/>
        <w:rPr>
          <w:rFonts w:hint="eastAsia"/>
        </w:rPr>
      </w:pPr>
      <w:r>
        <w:rPr>
          <w:rFonts w:hint="eastAsia"/>
        </w:rPr>
        <w:t>2测压通道采用电容式压力传感器，保证压力数据采集的快速、精准</w:t>
      </w:r>
    </w:p>
    <w:p w14:paraId="13A1FB66" w14:textId="77777777" w:rsidR="00BA4E3F" w:rsidRDefault="00000000">
      <w:pPr>
        <w:pStyle w:val="a7"/>
        <w:ind w:left="720" w:firstLineChars="0" w:firstLine="0"/>
        <w:rPr>
          <w:rFonts w:hint="eastAsia"/>
        </w:rPr>
      </w:pPr>
      <w:r>
        <w:rPr>
          <w:rFonts w:hint="eastAsia"/>
        </w:rPr>
        <w:t>3食道阻抗测压电极：≤36组测压通道,每通道有≤12个环绕测压点，≤432个测压点，与18个阻抗通道,直径≤4.2mm</w:t>
      </w:r>
    </w:p>
    <w:p w14:paraId="483645D5" w14:textId="77777777" w:rsidR="00BA4E3F" w:rsidRDefault="00000000">
      <w:pPr>
        <w:pStyle w:val="a7"/>
        <w:ind w:left="720" w:firstLineChars="0" w:firstLine="0"/>
        <w:rPr>
          <w:rFonts w:hint="eastAsia"/>
        </w:rPr>
      </w:pPr>
      <w:r>
        <w:rPr>
          <w:rFonts w:hint="eastAsia"/>
        </w:rPr>
        <w:t>4数据采集频率：≥ 100Hz</w:t>
      </w:r>
    </w:p>
    <w:p w14:paraId="6521C4AF" w14:textId="77777777" w:rsidR="00BA4E3F" w:rsidRDefault="00000000">
      <w:pPr>
        <w:pStyle w:val="a7"/>
        <w:ind w:left="720" w:firstLineChars="0" w:firstLine="0"/>
        <w:rPr>
          <w:rFonts w:hint="eastAsia"/>
        </w:rPr>
      </w:pPr>
      <w:r>
        <w:rPr>
          <w:rFonts w:hint="eastAsia"/>
        </w:rPr>
        <w:t>5数据采集量：≥216000个（压力数据）/分钟</w:t>
      </w:r>
    </w:p>
    <w:p w14:paraId="5B835247" w14:textId="77777777" w:rsidR="00BA4E3F" w:rsidRDefault="00000000">
      <w:pPr>
        <w:pStyle w:val="a7"/>
        <w:ind w:left="720" w:firstLineChars="0" w:firstLine="0"/>
        <w:rPr>
          <w:rFonts w:hint="eastAsia"/>
        </w:rPr>
      </w:pPr>
      <w:r>
        <w:rPr>
          <w:rFonts w:hint="eastAsia"/>
        </w:rPr>
        <w:t>6压力测量范围：0至500毫米汞柱</w:t>
      </w:r>
    </w:p>
    <w:p w14:paraId="57F84C6D" w14:textId="77777777" w:rsidR="00BA4E3F" w:rsidRDefault="00000000">
      <w:pPr>
        <w:pStyle w:val="a7"/>
        <w:ind w:left="720" w:firstLineChars="0" w:firstLine="0"/>
      </w:pPr>
      <w:r>
        <w:rPr>
          <w:rFonts w:hint="eastAsia"/>
        </w:rPr>
        <w:t>7压力测量精度：0.1mmHg(0mmHg至50mmHg)</w:t>
      </w:r>
    </w:p>
    <w:p w14:paraId="7115706B" w14:textId="56EB3269" w:rsidR="006B1DE8" w:rsidRDefault="006B1DE8" w:rsidP="006B1DE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售后质保期：在配件安装验收合格之日起三个月内，如遇到质量问题，免费更换同型号配件或者维修修复，并保证自故障之日起两日内使整机恢复正常</w:t>
      </w:r>
      <w:r>
        <w:rPr>
          <w:rFonts w:hint="eastAsia"/>
        </w:rPr>
        <w:t>。</w:t>
      </w:r>
    </w:p>
    <w:p w14:paraId="6B98DB3F" w14:textId="5B4B1E27" w:rsidR="00BA4E3F" w:rsidRDefault="009B6FAC" w:rsidP="009B6FAC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bookmarkStart w:id="0" w:name="_Hlk180680743"/>
      <w:r>
        <w:rPr>
          <w:rFonts w:hint="eastAsia"/>
        </w:rPr>
        <w:t>付款方式：配件安装调试完成，验收合格后付100%货款。</w:t>
      </w:r>
    </w:p>
    <w:bookmarkEnd w:id="0"/>
    <w:p w14:paraId="621FDE12" w14:textId="77777777" w:rsidR="00BA4E3F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W w:w="8309" w:type="dxa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4000"/>
        <w:gridCol w:w="1425"/>
        <w:gridCol w:w="2027"/>
      </w:tblGrid>
      <w:tr w:rsidR="00BA4E3F" w14:paraId="3CF7FE17" w14:textId="77777777">
        <w:trPr>
          <w:trHeight w:val="397"/>
        </w:trPr>
        <w:tc>
          <w:tcPr>
            <w:tcW w:w="857" w:type="dxa"/>
            <w:vAlign w:val="center"/>
          </w:tcPr>
          <w:p w14:paraId="7B973ED0" w14:textId="77777777" w:rsidR="00BA4E3F" w:rsidRDefault="00000000">
            <w:pPr>
              <w:spacing w:line="360" w:lineRule="exact"/>
              <w:ind w:firstLineChars="50" w:firstLine="105"/>
              <w:rPr>
                <w:rFonts w:ascii="思源黑体 CN Regular" w:eastAsia="思源黑体 CN Regular" w:hAnsi="思源黑体 CN Regular" w:cs="思源黑体 CN Regular" w:hint="eastAsia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7451AF70" w14:textId="77777777" w:rsidR="00BA4E3F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7CC461E1" w14:textId="77777777" w:rsidR="00BA4E3F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4EC013B" w14:textId="77777777" w:rsidR="00BA4E3F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单位</w:t>
            </w:r>
          </w:p>
        </w:tc>
      </w:tr>
      <w:tr w:rsidR="00BA4E3F" w14:paraId="5CC82004" w14:textId="77777777">
        <w:trPr>
          <w:trHeight w:val="397"/>
        </w:trPr>
        <w:tc>
          <w:tcPr>
            <w:tcW w:w="857" w:type="dxa"/>
            <w:vAlign w:val="center"/>
          </w:tcPr>
          <w:p w14:paraId="10DB810A" w14:textId="77777777" w:rsidR="00BA4E3F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4FF21773" w14:textId="77777777" w:rsidR="00BA4E3F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电极导管（MSC-3890-Z）</w:t>
            </w:r>
          </w:p>
        </w:tc>
        <w:tc>
          <w:tcPr>
            <w:tcW w:w="1425" w:type="dxa"/>
            <w:vAlign w:val="center"/>
          </w:tcPr>
          <w:p w14:paraId="157A872C" w14:textId="77777777" w:rsidR="00BA4E3F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18A06825" w14:textId="77777777" w:rsidR="00BA4E3F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  <w:t>根</w:t>
            </w:r>
          </w:p>
        </w:tc>
      </w:tr>
      <w:tr w:rsidR="00BA4E3F" w14:paraId="442A7E5F" w14:textId="77777777">
        <w:trPr>
          <w:trHeight w:val="397"/>
        </w:trPr>
        <w:tc>
          <w:tcPr>
            <w:tcW w:w="857" w:type="dxa"/>
            <w:vAlign w:val="center"/>
          </w:tcPr>
          <w:p w14:paraId="04812BB9" w14:textId="77777777" w:rsidR="00BA4E3F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2</w:t>
            </w:r>
          </w:p>
        </w:tc>
        <w:tc>
          <w:tcPr>
            <w:tcW w:w="4000" w:type="dxa"/>
          </w:tcPr>
          <w:p w14:paraId="6A770BC1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40AEA1D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1C4562A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  <w:tr w:rsidR="00BA4E3F" w14:paraId="3EC53118" w14:textId="77777777">
        <w:trPr>
          <w:trHeight w:val="397"/>
        </w:trPr>
        <w:tc>
          <w:tcPr>
            <w:tcW w:w="857" w:type="dxa"/>
            <w:vAlign w:val="center"/>
          </w:tcPr>
          <w:p w14:paraId="2D3ED8AE" w14:textId="77777777" w:rsidR="00BA4E3F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  <w:t>3</w:t>
            </w:r>
          </w:p>
        </w:tc>
        <w:tc>
          <w:tcPr>
            <w:tcW w:w="4000" w:type="dxa"/>
          </w:tcPr>
          <w:p w14:paraId="5F0B60B4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289BCE5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09207F6D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  <w:tr w:rsidR="00BA4E3F" w14:paraId="00F13955" w14:textId="77777777">
        <w:trPr>
          <w:trHeight w:val="397"/>
        </w:trPr>
        <w:tc>
          <w:tcPr>
            <w:tcW w:w="857" w:type="dxa"/>
            <w:vAlign w:val="center"/>
          </w:tcPr>
          <w:p w14:paraId="2DF93DE9" w14:textId="77777777" w:rsidR="00BA4E3F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  <w:t>4</w:t>
            </w:r>
          </w:p>
        </w:tc>
        <w:tc>
          <w:tcPr>
            <w:tcW w:w="4000" w:type="dxa"/>
          </w:tcPr>
          <w:p w14:paraId="4DC8E577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F17ED8F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44014CEF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  <w:tr w:rsidR="00BA4E3F" w14:paraId="2F25FC50" w14:textId="77777777">
        <w:trPr>
          <w:trHeight w:val="397"/>
        </w:trPr>
        <w:tc>
          <w:tcPr>
            <w:tcW w:w="857" w:type="dxa"/>
            <w:vAlign w:val="center"/>
          </w:tcPr>
          <w:p w14:paraId="41311073" w14:textId="77777777" w:rsidR="00BA4E3F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5</w:t>
            </w:r>
          </w:p>
        </w:tc>
        <w:tc>
          <w:tcPr>
            <w:tcW w:w="4000" w:type="dxa"/>
          </w:tcPr>
          <w:p w14:paraId="1250E9D1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526B44B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78DF7204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  <w:tr w:rsidR="00BA4E3F" w14:paraId="61E7F213" w14:textId="77777777">
        <w:trPr>
          <w:trHeight w:val="397"/>
        </w:trPr>
        <w:tc>
          <w:tcPr>
            <w:tcW w:w="857" w:type="dxa"/>
            <w:vAlign w:val="center"/>
          </w:tcPr>
          <w:p w14:paraId="5F4D6273" w14:textId="77777777" w:rsidR="00BA4E3F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6</w:t>
            </w:r>
          </w:p>
        </w:tc>
        <w:tc>
          <w:tcPr>
            <w:tcW w:w="4000" w:type="dxa"/>
          </w:tcPr>
          <w:p w14:paraId="36C6CA5E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34E43E8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C8FC0E5" w14:textId="77777777" w:rsidR="00BA4E3F" w:rsidRDefault="00BA4E3F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</w:tbl>
    <w:p w14:paraId="1A3EAE6D" w14:textId="77777777" w:rsidR="00BA4E3F" w:rsidRDefault="00BA4E3F">
      <w:pPr>
        <w:pStyle w:val="a7"/>
        <w:ind w:left="1080" w:firstLineChars="0" w:firstLine="0"/>
        <w:rPr>
          <w:rFonts w:hint="eastAsia"/>
        </w:rPr>
      </w:pPr>
    </w:p>
    <w:sectPr w:rsidR="00BA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692A" w14:textId="77777777" w:rsidR="00F412CA" w:rsidRDefault="00F412CA" w:rsidP="006B1DE8">
      <w:pPr>
        <w:rPr>
          <w:rFonts w:hint="eastAsia"/>
        </w:rPr>
      </w:pPr>
      <w:r>
        <w:separator/>
      </w:r>
    </w:p>
  </w:endnote>
  <w:endnote w:type="continuationSeparator" w:id="0">
    <w:p w14:paraId="4D41F345" w14:textId="77777777" w:rsidR="00F412CA" w:rsidRDefault="00F412CA" w:rsidP="006B1D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Malgun Gothic Semilight"/>
    <w:charset w:val="86"/>
    <w:family w:val="swiss"/>
    <w:pitch w:val="default"/>
    <w:sig w:usb0="00000000" w:usb1="00000000" w:usb2="00000016" w:usb3="00000000" w:csb0="6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A65C5" w14:textId="77777777" w:rsidR="00F412CA" w:rsidRDefault="00F412CA" w:rsidP="006B1DE8">
      <w:pPr>
        <w:rPr>
          <w:rFonts w:hint="eastAsia"/>
        </w:rPr>
      </w:pPr>
      <w:r>
        <w:separator/>
      </w:r>
    </w:p>
  </w:footnote>
  <w:footnote w:type="continuationSeparator" w:id="0">
    <w:p w14:paraId="037C5347" w14:textId="77777777" w:rsidR="00F412CA" w:rsidRDefault="00F412CA" w:rsidP="006B1D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1539"/>
    <w:multiLevelType w:val="multilevel"/>
    <w:tmpl w:val="1BBB153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5308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0MjY0Y2ExMTZlMGE5ZTk5Y2YzMGQwNGZkZDcyYjEifQ=="/>
  </w:docVars>
  <w:rsids>
    <w:rsidRoot w:val="00790410"/>
    <w:rsid w:val="00126D90"/>
    <w:rsid w:val="00153A82"/>
    <w:rsid w:val="00183DB0"/>
    <w:rsid w:val="002E02A6"/>
    <w:rsid w:val="00300413"/>
    <w:rsid w:val="0032095A"/>
    <w:rsid w:val="006B1DE8"/>
    <w:rsid w:val="00785E6B"/>
    <w:rsid w:val="00790410"/>
    <w:rsid w:val="009B6FAC"/>
    <w:rsid w:val="00BA4E3F"/>
    <w:rsid w:val="00D46D24"/>
    <w:rsid w:val="00EC505A"/>
    <w:rsid w:val="00F412CA"/>
    <w:rsid w:val="7B4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F05A8"/>
  <w15:docId w15:val="{EA98D964-D358-43CF-B36D-1F360438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temp'p'c</dc:creator>
  <cp:lastModifiedBy>pf Liu</cp:lastModifiedBy>
  <cp:revision>6</cp:revision>
  <dcterms:created xsi:type="dcterms:W3CDTF">2023-12-04T09:05:00Z</dcterms:created>
  <dcterms:modified xsi:type="dcterms:W3CDTF">2024-10-24T08:50:00Z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6E6217D6581E4137A1BE7C28CF229B81_12</vt:lpwstr>
  </property>
</Properties>
</file>