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E0B54">
      <w:pPr>
        <w:keepNext w:val="0"/>
        <w:keepLines w:val="0"/>
        <w:pageBreakBefore w:val="0"/>
        <w:widowControl w:val="0"/>
        <w:kinsoku/>
        <w:wordWrap/>
        <w:overflowPunct/>
        <w:topLinePunct w:val="0"/>
        <w:autoSpaceDE/>
        <w:autoSpaceDN/>
        <w:bidi w:val="0"/>
        <w:adjustRightInd/>
        <w:snapToGrid w:val="0"/>
        <w:jc w:val="center"/>
        <w:textAlignment w:val="auto"/>
        <w:rPr>
          <w:rFonts w:hint="eastAsia"/>
          <w:b/>
          <w:bCs/>
          <w:sz w:val="28"/>
          <w:szCs w:val="28"/>
        </w:rPr>
      </w:pPr>
      <w:r>
        <w:rPr>
          <w:rFonts w:hint="eastAsia"/>
          <w:b/>
          <w:bCs/>
          <w:sz w:val="28"/>
          <w:szCs w:val="28"/>
        </w:rPr>
        <w:t>皮肤镜检测仪采购需求参数</w:t>
      </w:r>
    </w:p>
    <w:p w14:paraId="6DCB21F5">
      <w:pPr>
        <w:keepNext w:val="0"/>
        <w:keepLines w:val="0"/>
        <w:pageBreakBefore w:val="0"/>
        <w:widowControl w:val="0"/>
        <w:numPr>
          <w:numId w:val="0"/>
        </w:numPr>
        <w:kinsoku/>
        <w:wordWrap/>
        <w:overflowPunct/>
        <w:topLinePunct w:val="0"/>
        <w:autoSpaceDE/>
        <w:autoSpaceDN/>
        <w:bidi w:val="0"/>
        <w:adjustRightInd/>
        <w:snapToGrid w:val="0"/>
        <w:jc w:val="left"/>
        <w:textAlignment w:val="auto"/>
        <w:rPr>
          <w:rFonts w:hint="eastAsia"/>
          <w:b/>
          <w:bCs/>
          <w:sz w:val="28"/>
          <w:szCs w:val="28"/>
          <w:lang w:val="en-US" w:eastAsia="zh-CN"/>
        </w:rPr>
      </w:pPr>
      <w:r>
        <w:rPr>
          <w:rFonts w:hint="eastAsia"/>
          <w:b/>
          <w:bCs/>
          <w:sz w:val="28"/>
          <w:szCs w:val="28"/>
          <w:lang w:val="en-US" w:eastAsia="zh-CN"/>
        </w:rPr>
        <w:t>技术要求</w:t>
      </w:r>
    </w:p>
    <w:p w14:paraId="747E451B">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成像模式3D</w:t>
      </w:r>
    </w:p>
    <w:p w14:paraId="72C02E99">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拍摄方式</w:t>
      </w:r>
      <w:r>
        <w:rPr>
          <w:rFonts w:hint="default"/>
          <w:b w:val="0"/>
          <w:bCs w:val="0"/>
          <w:sz w:val="28"/>
          <w:szCs w:val="28"/>
          <w:lang w:val="en-US" w:eastAsia="zh-CN"/>
        </w:rPr>
        <w:tab/>
      </w:r>
      <w:r>
        <w:rPr>
          <w:rFonts w:hint="default"/>
          <w:b w:val="0"/>
          <w:bCs w:val="0"/>
          <w:sz w:val="28"/>
          <w:szCs w:val="28"/>
          <w:lang w:val="en-US" w:eastAsia="zh-CN"/>
        </w:rPr>
        <w:t>一次性全自动</w:t>
      </w:r>
      <w:bookmarkStart w:id="0" w:name="_GoBack"/>
      <w:bookmarkEnd w:id="0"/>
    </w:p>
    <w:p w14:paraId="438726C3">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全脸像素</w:t>
      </w:r>
      <w:r>
        <w:rPr>
          <w:rFonts w:hint="default"/>
          <w:b w:val="0"/>
          <w:bCs w:val="0"/>
          <w:sz w:val="28"/>
          <w:szCs w:val="28"/>
          <w:lang w:val="en-US" w:eastAsia="zh-CN"/>
        </w:rPr>
        <w:tab/>
      </w:r>
      <w:r>
        <w:rPr>
          <w:rFonts w:hint="default"/>
          <w:b w:val="0"/>
          <w:bCs w:val="0"/>
          <w:sz w:val="28"/>
          <w:szCs w:val="28"/>
          <w:lang w:val="en-US" w:eastAsia="zh-CN"/>
        </w:rPr>
        <w:t>≥3500万</w:t>
      </w:r>
    </w:p>
    <w:p w14:paraId="617733D6">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3D精度</w:t>
      </w:r>
      <w:r>
        <w:rPr>
          <w:rFonts w:hint="default"/>
          <w:b w:val="0"/>
          <w:bCs w:val="0"/>
          <w:sz w:val="28"/>
          <w:szCs w:val="28"/>
          <w:lang w:val="en-US" w:eastAsia="zh-CN"/>
        </w:rPr>
        <w:tab/>
      </w:r>
      <w:r>
        <w:rPr>
          <w:rFonts w:hint="default"/>
          <w:b w:val="0"/>
          <w:bCs w:val="0"/>
          <w:sz w:val="28"/>
          <w:szCs w:val="28"/>
          <w:lang w:val="en-US" w:eastAsia="zh-CN"/>
        </w:rPr>
        <w:t>≥0.2mm</w:t>
      </w:r>
    </w:p>
    <w:p w14:paraId="24BBA289">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光谱光源</w:t>
      </w:r>
      <w:r>
        <w:rPr>
          <w:rFonts w:hint="default"/>
          <w:b w:val="0"/>
          <w:bCs w:val="0"/>
          <w:sz w:val="28"/>
          <w:szCs w:val="28"/>
          <w:lang w:val="en-US" w:eastAsia="zh-CN"/>
        </w:rPr>
        <w:tab/>
      </w:r>
      <w:r>
        <w:rPr>
          <w:rFonts w:hint="default"/>
          <w:b w:val="0"/>
          <w:bCs w:val="0"/>
          <w:sz w:val="28"/>
          <w:szCs w:val="28"/>
          <w:lang w:val="en-US" w:eastAsia="zh-CN"/>
        </w:rPr>
        <w:t>≥4种（自然光、紫外光、交叉偏振光、平行偏振光）</w:t>
      </w:r>
    </w:p>
    <w:p w14:paraId="794E0F58">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影像分析模式</w:t>
      </w:r>
      <w:r>
        <w:rPr>
          <w:rFonts w:hint="default"/>
          <w:b w:val="0"/>
          <w:bCs w:val="0"/>
          <w:sz w:val="28"/>
          <w:szCs w:val="28"/>
          <w:lang w:val="en-US" w:eastAsia="zh-CN"/>
        </w:rPr>
        <w:tab/>
      </w:r>
      <w:r>
        <w:rPr>
          <w:rFonts w:hint="default"/>
          <w:b w:val="0"/>
          <w:bCs w:val="0"/>
          <w:sz w:val="28"/>
          <w:szCs w:val="28"/>
          <w:lang w:val="en-US" w:eastAsia="zh-CN"/>
        </w:rPr>
        <w:t>≥13种(冷光、自然光、交叉偏正光、平行偏正光、紫外线、紫外线斑、深棕色区、浅棕色区、深红色区、浅红色区、红血丝、红区热力、棕区热力)</w:t>
      </w:r>
    </w:p>
    <w:p w14:paraId="7B8433AC">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对比模式</w:t>
      </w:r>
      <w:r>
        <w:rPr>
          <w:rFonts w:hint="default"/>
          <w:b w:val="0"/>
          <w:bCs w:val="0"/>
          <w:sz w:val="28"/>
          <w:szCs w:val="28"/>
          <w:lang w:val="en-US" w:eastAsia="zh-CN"/>
        </w:rPr>
        <w:tab/>
      </w:r>
      <w:r>
        <w:rPr>
          <w:rFonts w:hint="default"/>
          <w:b w:val="0"/>
          <w:bCs w:val="0"/>
          <w:sz w:val="28"/>
          <w:szCs w:val="28"/>
          <w:lang w:val="en-US" w:eastAsia="zh-CN"/>
        </w:rPr>
        <w:t>≥3种(分屏对比、镜像对比、历史对比)</w:t>
      </w:r>
    </w:p>
    <w:p w14:paraId="26776BF2">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分析报告</w:t>
      </w:r>
      <w:r>
        <w:rPr>
          <w:rFonts w:hint="default"/>
          <w:b w:val="0"/>
          <w:bCs w:val="0"/>
          <w:sz w:val="28"/>
          <w:szCs w:val="28"/>
          <w:lang w:val="en-US" w:eastAsia="zh-CN"/>
        </w:rPr>
        <w:tab/>
      </w:r>
      <w:r>
        <w:rPr>
          <w:rFonts w:hint="default"/>
          <w:b w:val="0"/>
          <w:bCs w:val="0"/>
          <w:sz w:val="28"/>
          <w:szCs w:val="28"/>
          <w:lang w:val="en-US" w:eastAsia="zh-CN"/>
        </w:rPr>
        <w:t>自动生成</w:t>
      </w:r>
    </w:p>
    <w:p w14:paraId="613A2AB3">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访问模式</w:t>
      </w:r>
      <w:r>
        <w:rPr>
          <w:rFonts w:hint="default"/>
          <w:b w:val="0"/>
          <w:bCs w:val="0"/>
          <w:sz w:val="28"/>
          <w:szCs w:val="28"/>
          <w:lang w:val="en-US" w:eastAsia="zh-CN"/>
        </w:rPr>
        <w:tab/>
      </w:r>
      <w:r>
        <w:rPr>
          <w:rFonts w:hint="default"/>
          <w:b w:val="0"/>
          <w:bCs w:val="0"/>
          <w:sz w:val="28"/>
          <w:szCs w:val="28"/>
          <w:lang w:val="en-US" w:eastAsia="zh-CN"/>
        </w:rPr>
        <w:t>多终端同时在线访问</w:t>
      </w:r>
    </w:p>
    <w:p w14:paraId="103D4EB5">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认证</w:t>
      </w:r>
      <w:r>
        <w:rPr>
          <w:rFonts w:hint="default"/>
          <w:b w:val="0"/>
          <w:bCs w:val="0"/>
          <w:sz w:val="28"/>
          <w:szCs w:val="28"/>
          <w:lang w:val="en-US" w:eastAsia="zh-CN"/>
        </w:rPr>
        <w:tab/>
      </w:r>
      <w:r>
        <w:rPr>
          <w:rFonts w:hint="default"/>
          <w:b w:val="0"/>
          <w:bCs w:val="0"/>
          <w:sz w:val="28"/>
          <w:szCs w:val="28"/>
          <w:lang w:val="en-US" w:eastAsia="zh-CN"/>
        </w:rPr>
        <w:t>通过国家二类医疗器械认证</w:t>
      </w:r>
    </w:p>
    <w:p w14:paraId="70282874">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HIS接入</w:t>
      </w:r>
      <w:r>
        <w:rPr>
          <w:rFonts w:hint="default"/>
          <w:b w:val="0"/>
          <w:bCs w:val="0"/>
          <w:sz w:val="28"/>
          <w:szCs w:val="28"/>
          <w:lang w:val="en-US" w:eastAsia="zh-CN"/>
        </w:rPr>
        <w:tab/>
      </w:r>
      <w:r>
        <w:rPr>
          <w:rFonts w:hint="default"/>
          <w:b w:val="0"/>
          <w:bCs w:val="0"/>
          <w:sz w:val="28"/>
          <w:szCs w:val="28"/>
          <w:lang w:val="en-US" w:eastAsia="zh-CN"/>
        </w:rPr>
        <w:t>支持，提供接口</w:t>
      </w:r>
    </w:p>
    <w:p w14:paraId="500B3C4E">
      <w:pPr>
        <w:keepNext w:val="0"/>
        <w:keepLines w:val="0"/>
        <w:pageBreakBefore w:val="0"/>
        <w:widowControl w:val="0"/>
        <w:numPr>
          <w:ilvl w:val="0"/>
          <w:numId w:val="1"/>
        </w:numPr>
        <w:kinsoku/>
        <w:wordWrap/>
        <w:overflowPunct/>
        <w:topLinePunct w:val="0"/>
        <w:autoSpaceDE/>
        <w:autoSpaceDN/>
        <w:bidi w:val="0"/>
        <w:adjustRightInd/>
        <w:snapToGrid w:val="0"/>
        <w:ind w:left="425" w:leftChars="0" w:hanging="425" w:firstLineChars="0"/>
        <w:jc w:val="left"/>
        <w:textAlignment w:val="auto"/>
        <w:rPr>
          <w:rFonts w:hint="default"/>
          <w:b w:val="0"/>
          <w:bCs w:val="0"/>
          <w:sz w:val="28"/>
          <w:szCs w:val="28"/>
          <w:lang w:val="en-US" w:eastAsia="zh-CN"/>
        </w:rPr>
      </w:pPr>
      <w:r>
        <w:rPr>
          <w:rFonts w:hint="default"/>
          <w:b w:val="0"/>
          <w:bCs w:val="0"/>
          <w:sz w:val="28"/>
          <w:szCs w:val="28"/>
          <w:lang w:val="en-US" w:eastAsia="zh-CN"/>
        </w:rPr>
        <w:t>存储扩容</w:t>
      </w:r>
      <w:r>
        <w:rPr>
          <w:rFonts w:hint="default"/>
          <w:b w:val="0"/>
          <w:bCs w:val="0"/>
          <w:sz w:val="28"/>
          <w:szCs w:val="28"/>
          <w:lang w:val="en-US" w:eastAsia="zh-CN"/>
        </w:rPr>
        <w:tab/>
      </w:r>
      <w:r>
        <w:rPr>
          <w:rFonts w:hint="default"/>
          <w:b w:val="0"/>
          <w:bCs w:val="0"/>
          <w:sz w:val="28"/>
          <w:szCs w:val="28"/>
          <w:lang w:val="en-US" w:eastAsia="zh-CN"/>
        </w:rPr>
        <w:t>支持</w:t>
      </w:r>
    </w:p>
    <w:p w14:paraId="3895F7CE">
      <w:pPr>
        <w:keepNext w:val="0"/>
        <w:keepLines w:val="0"/>
        <w:pageBreakBefore w:val="0"/>
        <w:widowControl w:val="0"/>
        <w:numPr>
          <w:numId w:val="0"/>
        </w:numPr>
        <w:kinsoku/>
        <w:wordWrap/>
        <w:overflowPunct/>
        <w:topLinePunct w:val="0"/>
        <w:autoSpaceDE/>
        <w:autoSpaceDN/>
        <w:bidi w:val="0"/>
        <w:adjustRightInd/>
        <w:snapToGrid w:val="0"/>
        <w:jc w:val="left"/>
        <w:textAlignment w:val="auto"/>
        <w:rPr>
          <w:rFonts w:hint="eastAsia"/>
          <w:b/>
          <w:bCs/>
          <w:sz w:val="28"/>
          <w:szCs w:val="28"/>
          <w:lang w:eastAsia="zh-CN"/>
        </w:rPr>
      </w:pPr>
      <w:r>
        <w:rPr>
          <w:rFonts w:hint="eastAsia"/>
          <w:b/>
          <w:bCs/>
          <w:sz w:val="28"/>
          <w:szCs w:val="28"/>
        </w:rPr>
        <w:t>单台配置清单</w:t>
      </w:r>
      <w:r>
        <w:rPr>
          <w:rFonts w:hint="eastAsia"/>
          <w:b/>
          <w:bCs/>
          <w:sz w:val="28"/>
          <w:szCs w:val="28"/>
          <w:lang w:eastAsia="zh-CN"/>
        </w:rPr>
        <w:t>（</w:t>
      </w:r>
      <w:r>
        <w:rPr>
          <w:rFonts w:hint="eastAsia"/>
          <w:b/>
          <w:bCs/>
          <w:sz w:val="28"/>
          <w:szCs w:val="28"/>
          <w:lang w:val="en-US" w:eastAsia="zh-CN"/>
        </w:rPr>
        <w:t>最低要求</w:t>
      </w:r>
      <w:r>
        <w:rPr>
          <w:rFonts w:hint="eastAsia"/>
          <w:b/>
          <w:bCs/>
          <w:sz w:val="28"/>
          <w:szCs w:val="28"/>
          <w:lang w:eastAsia="zh-CN"/>
        </w:rPr>
        <w:t>）</w:t>
      </w:r>
    </w:p>
    <w:p w14:paraId="414F95D2">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图像采集配置</w:t>
      </w:r>
      <w:r>
        <w:rPr>
          <w:rFonts w:hint="eastAsia"/>
          <w:b w:val="0"/>
          <w:bCs w:val="0"/>
          <w:sz w:val="28"/>
          <w:szCs w:val="28"/>
          <w:lang w:eastAsia="zh-CN"/>
        </w:rPr>
        <w:tab/>
      </w:r>
      <w:r>
        <w:rPr>
          <w:rFonts w:hint="eastAsia"/>
          <w:b w:val="0"/>
          <w:bCs w:val="0"/>
          <w:sz w:val="28"/>
          <w:szCs w:val="28"/>
          <w:lang w:eastAsia="zh-CN"/>
        </w:rPr>
        <w:t>1台</w:t>
      </w:r>
    </w:p>
    <w:p w14:paraId="20CAD2A1">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控制软件</w:t>
      </w:r>
      <w:r>
        <w:rPr>
          <w:rFonts w:hint="eastAsia"/>
          <w:b w:val="0"/>
          <w:bCs w:val="0"/>
          <w:sz w:val="28"/>
          <w:szCs w:val="28"/>
          <w:lang w:eastAsia="zh-CN"/>
        </w:rPr>
        <w:tab/>
      </w:r>
      <w:r>
        <w:rPr>
          <w:rFonts w:hint="eastAsia"/>
          <w:b w:val="0"/>
          <w:bCs w:val="0"/>
          <w:sz w:val="28"/>
          <w:szCs w:val="28"/>
          <w:lang w:eastAsia="zh-CN"/>
        </w:rPr>
        <w:t>1套</w:t>
      </w:r>
    </w:p>
    <w:p w14:paraId="7FBF129B">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电源线、电源适配器</w:t>
      </w:r>
      <w:r>
        <w:rPr>
          <w:rFonts w:hint="eastAsia"/>
          <w:b w:val="0"/>
          <w:bCs w:val="0"/>
          <w:sz w:val="28"/>
          <w:szCs w:val="28"/>
          <w:lang w:eastAsia="zh-CN"/>
        </w:rPr>
        <w:tab/>
      </w:r>
      <w:r>
        <w:rPr>
          <w:rFonts w:hint="eastAsia"/>
          <w:b w:val="0"/>
          <w:bCs w:val="0"/>
          <w:sz w:val="28"/>
          <w:szCs w:val="28"/>
          <w:lang w:eastAsia="zh-CN"/>
        </w:rPr>
        <w:t>1套</w:t>
      </w:r>
    </w:p>
    <w:p w14:paraId="2765659C">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显示器</w:t>
      </w:r>
      <w:r>
        <w:rPr>
          <w:rFonts w:hint="eastAsia"/>
          <w:b w:val="0"/>
          <w:bCs w:val="0"/>
          <w:sz w:val="28"/>
          <w:szCs w:val="28"/>
          <w:lang w:eastAsia="zh-CN"/>
        </w:rPr>
        <w:tab/>
      </w:r>
      <w:r>
        <w:rPr>
          <w:rFonts w:hint="eastAsia"/>
          <w:b w:val="0"/>
          <w:bCs w:val="0"/>
          <w:sz w:val="28"/>
          <w:szCs w:val="28"/>
          <w:lang w:eastAsia="zh-CN"/>
        </w:rPr>
        <w:t>1台</w:t>
      </w:r>
    </w:p>
    <w:p w14:paraId="6E28E89B">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配套工作站外设</w:t>
      </w:r>
      <w:r>
        <w:rPr>
          <w:rFonts w:hint="eastAsia"/>
          <w:b w:val="0"/>
          <w:bCs w:val="0"/>
          <w:sz w:val="28"/>
          <w:szCs w:val="28"/>
          <w:lang w:eastAsia="zh-CN"/>
        </w:rPr>
        <w:tab/>
      </w:r>
      <w:r>
        <w:rPr>
          <w:rFonts w:hint="eastAsia"/>
          <w:b w:val="0"/>
          <w:bCs w:val="0"/>
          <w:sz w:val="28"/>
          <w:szCs w:val="28"/>
          <w:lang w:eastAsia="zh-CN"/>
        </w:rPr>
        <w:t>1套</w:t>
      </w:r>
    </w:p>
    <w:p w14:paraId="7E1AB576">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存储服务器</w:t>
      </w:r>
      <w:r>
        <w:rPr>
          <w:rFonts w:hint="eastAsia"/>
          <w:b w:val="0"/>
          <w:bCs w:val="0"/>
          <w:sz w:val="28"/>
          <w:szCs w:val="28"/>
          <w:lang w:eastAsia="zh-CN"/>
        </w:rPr>
        <w:tab/>
      </w:r>
      <w:r>
        <w:rPr>
          <w:rFonts w:hint="eastAsia"/>
          <w:b w:val="0"/>
          <w:bCs w:val="0"/>
          <w:sz w:val="28"/>
          <w:szCs w:val="28"/>
          <w:lang w:eastAsia="zh-CN"/>
        </w:rPr>
        <w:t>1个</w:t>
      </w:r>
    </w:p>
    <w:p w14:paraId="38946872">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配套工作站/控制平板</w:t>
      </w:r>
      <w:r>
        <w:rPr>
          <w:rFonts w:hint="eastAsia"/>
          <w:b w:val="0"/>
          <w:bCs w:val="0"/>
          <w:sz w:val="28"/>
          <w:szCs w:val="28"/>
          <w:lang w:eastAsia="zh-CN"/>
        </w:rPr>
        <w:tab/>
      </w:r>
      <w:r>
        <w:rPr>
          <w:rFonts w:hint="eastAsia"/>
          <w:b w:val="0"/>
          <w:bCs w:val="0"/>
          <w:sz w:val="28"/>
          <w:szCs w:val="28"/>
          <w:lang w:eastAsia="zh-CN"/>
        </w:rPr>
        <w:t>1个</w:t>
      </w:r>
    </w:p>
    <w:p w14:paraId="27B80FE0">
      <w:pPr>
        <w:keepNext w:val="0"/>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left"/>
        <w:textAlignment w:val="auto"/>
        <w:rPr>
          <w:rFonts w:hint="eastAsia"/>
          <w:b w:val="0"/>
          <w:bCs w:val="0"/>
          <w:sz w:val="28"/>
          <w:szCs w:val="28"/>
          <w:lang w:eastAsia="zh-CN"/>
        </w:rPr>
      </w:pPr>
      <w:r>
        <w:rPr>
          <w:rFonts w:hint="eastAsia"/>
          <w:b w:val="0"/>
          <w:bCs w:val="0"/>
          <w:sz w:val="28"/>
          <w:szCs w:val="28"/>
          <w:lang w:eastAsia="zh-CN"/>
        </w:rPr>
        <w:t>电动升降桌</w:t>
      </w:r>
      <w:r>
        <w:rPr>
          <w:rFonts w:hint="eastAsia"/>
          <w:b w:val="0"/>
          <w:bCs w:val="0"/>
          <w:sz w:val="28"/>
          <w:szCs w:val="28"/>
          <w:lang w:eastAsia="zh-CN"/>
        </w:rPr>
        <w:tab/>
      </w:r>
      <w:r>
        <w:rPr>
          <w:rFonts w:hint="eastAsia"/>
          <w:b w:val="0"/>
          <w:bCs w:val="0"/>
          <w:sz w:val="28"/>
          <w:szCs w:val="28"/>
          <w:lang w:eastAsia="zh-CN"/>
        </w:rPr>
        <w:t>1个</w:t>
      </w:r>
    </w:p>
    <w:p w14:paraId="7F1388EF">
      <w:pPr>
        <w:keepNext w:val="0"/>
        <w:keepLines w:val="0"/>
        <w:pageBreakBefore w:val="0"/>
        <w:widowControl w:val="0"/>
        <w:kinsoku/>
        <w:wordWrap/>
        <w:overflowPunct/>
        <w:topLinePunct w:val="0"/>
        <w:autoSpaceDE/>
        <w:autoSpaceDN/>
        <w:bidi w:val="0"/>
        <w:adjustRightInd/>
        <w:snapToGrid w:val="0"/>
        <w:textAlignment w:val="auto"/>
        <w:rPr>
          <w:rFonts w:hint="eastAsia"/>
          <w:b/>
          <w:bCs/>
          <w:sz w:val="28"/>
          <w:szCs w:val="28"/>
        </w:rPr>
      </w:pPr>
      <w:r>
        <w:rPr>
          <w:rFonts w:hint="eastAsia"/>
          <w:b/>
          <w:bCs/>
          <w:sz w:val="28"/>
          <w:szCs w:val="28"/>
        </w:rPr>
        <w:t>服务要求</w:t>
      </w:r>
    </w:p>
    <w:p w14:paraId="2B7938F4">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1、提供详细的产品使用说明书和操作指南。</w:t>
      </w:r>
    </w:p>
    <w:p w14:paraId="648AB37E">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2、提供安装和调试服务，确保产品正确安装并能正常使用。</w:t>
      </w:r>
    </w:p>
    <w:p w14:paraId="3814D439">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3、提供操作培训，使科室工作人员能够熟练掌握产品的使用方法。</w:t>
      </w:r>
    </w:p>
    <w:p w14:paraId="121E5452">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4、提供≥3年的免费保修期，在此期间内非人为损坏由供应商负责免费维修或更换。</w:t>
      </w:r>
    </w:p>
    <w:p w14:paraId="71145050">
      <w:pPr>
        <w:keepNext w:val="0"/>
        <w:keepLines w:val="0"/>
        <w:pageBreakBefore w:val="0"/>
        <w:widowControl w:val="0"/>
        <w:kinsoku/>
        <w:wordWrap/>
        <w:overflowPunct/>
        <w:topLinePunct w:val="0"/>
        <w:autoSpaceDE/>
        <w:autoSpaceDN/>
        <w:bidi w:val="0"/>
        <w:adjustRightInd/>
        <w:snapToGrid w:val="0"/>
        <w:textAlignment w:val="auto"/>
        <w:rPr>
          <w:rFonts w:hint="eastAsia"/>
          <w:b/>
          <w:bCs/>
          <w:sz w:val="28"/>
          <w:szCs w:val="28"/>
        </w:rPr>
      </w:pPr>
      <w:r>
        <w:rPr>
          <w:rFonts w:hint="eastAsia"/>
          <w:b/>
          <w:bCs/>
          <w:sz w:val="28"/>
          <w:szCs w:val="28"/>
        </w:rPr>
        <w:t>商务要求</w:t>
      </w:r>
    </w:p>
    <w:p w14:paraId="335A0F97">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1、时间要求:中标供应商应在接到送货通知后7天内完成设备的交付，并在15天内完成安装调试。</w:t>
      </w:r>
    </w:p>
    <w:p w14:paraId="2114D785">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2、地点要求:交货地点院方指定地点。</w:t>
      </w:r>
    </w:p>
    <w:p w14:paraId="379CBD9E">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3、财务要求:货到交货地点并经验收合格后，在货物验收合格和收到厂家开具的等额增值税普通发票等付款材料之日起30个工作日内向乙方支付100%货款。</w:t>
      </w:r>
    </w:p>
    <w:p w14:paraId="13232800">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4、包装与运输:设备需采用防震包装，确保运输过程中的安全。运输费用由供应商承担，运输途中的一切风险由供应商负责。</w:t>
      </w:r>
    </w:p>
    <w:p w14:paraId="40E456C3">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5、需遵守医院供应商管理规定（规定详见医院官网-采购公告置顶内容）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F327C"/>
    <w:multiLevelType w:val="singleLevel"/>
    <w:tmpl w:val="8CFF327C"/>
    <w:lvl w:ilvl="0" w:tentative="0">
      <w:start w:val="1"/>
      <w:numFmt w:val="decimal"/>
      <w:lvlText w:val="%1."/>
      <w:lvlJc w:val="left"/>
      <w:pPr>
        <w:ind w:left="425" w:hanging="425"/>
      </w:pPr>
      <w:rPr>
        <w:rFonts w:hint="default"/>
      </w:rPr>
    </w:lvl>
  </w:abstractNum>
  <w:abstractNum w:abstractNumId="1">
    <w:nsid w:val="040454E7"/>
    <w:multiLevelType w:val="singleLevel"/>
    <w:tmpl w:val="040454E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OTQ2OWY4NzVlZmM5YTVjNDM3NGM2ODE1MzI3NzgifQ=="/>
  </w:docVars>
  <w:rsids>
    <w:rsidRoot w:val="27005079"/>
    <w:rsid w:val="00101C52"/>
    <w:rsid w:val="00491CC9"/>
    <w:rsid w:val="00A83017"/>
    <w:rsid w:val="00F76805"/>
    <w:rsid w:val="0D976516"/>
    <w:rsid w:val="27005079"/>
    <w:rsid w:val="2E855025"/>
    <w:rsid w:val="34AE2AD0"/>
    <w:rsid w:val="34D80120"/>
    <w:rsid w:val="361E6007"/>
    <w:rsid w:val="3A754905"/>
    <w:rsid w:val="3D711112"/>
    <w:rsid w:val="3F1E2BD3"/>
    <w:rsid w:val="56701B0F"/>
    <w:rsid w:val="644F0FB6"/>
    <w:rsid w:val="69BB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24"/>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664</Words>
  <Characters>690</Characters>
  <Lines>26</Lines>
  <Paragraphs>39</Paragraphs>
  <TotalTime>8</TotalTime>
  <ScaleCrop>false</ScaleCrop>
  <LinksUpToDate>false</LinksUpToDate>
  <CharactersWithSpaces>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2025-06-16T01:45:00Z</dcterms:created>
  <dc:creator>  </dc:creator>
  <cp:lastModifiedBy>刘鹏飞</cp:lastModifiedBy>
  <cp:lastPrinted>2025-11-20T09:22:16Z</cp:lastPrinted>
  <dcterms:modified xsi:type="dcterms:W3CDTF">2025-11-20T09:28:05Z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271EC8D254D346AB8B441AEE580461DF_11</vt:lpwstr>
  </property>
  <property fmtid="{D5CDD505-2E9C-101B-9397-08002B2CF9AE}" pid="4" name="KSOTemplateDocerSaveRecord">
    <vt:lpwstr>eyJoZGlkIjoiOGVjMzFhNGE5ZDgzNWVmMjZiZjhmYWMwNjk0OTIxOTkiLCJ1c2VySWQiOiIxNjU3MTU4OTMzIn0=</vt:lpwstr>
  </property>
</Properties>
</file>