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EEC39">
      <w:pPr>
        <w:jc w:val="both"/>
        <w:rPr>
          <w:rFonts w:hint="eastAsia" w:ascii="宋体" w:hAnsi="宋体" w:eastAsia="宋体" w:cs="宋体"/>
          <w:sz w:val="32"/>
          <w:szCs w:val="32"/>
        </w:rPr>
      </w:pPr>
      <w:r>
        <w:rPr>
          <w:rFonts w:hint="eastAsia" w:ascii="宋体" w:hAnsi="宋体" w:eastAsia="宋体" w:cs="宋体"/>
          <w:sz w:val="32"/>
          <w:szCs w:val="32"/>
        </w:rPr>
        <w:t>磁刺激仪技术参数</w:t>
      </w:r>
    </w:p>
    <w:p w14:paraId="30885F2D">
      <w:pPr>
        <w:rPr>
          <w:rFonts w:hint="eastAsia" w:ascii="宋体" w:hAnsi="宋体" w:eastAsia="宋体" w:cs="宋体"/>
          <w:b/>
          <w:bCs/>
          <w:sz w:val="24"/>
          <w:szCs w:val="24"/>
        </w:rPr>
      </w:pPr>
    </w:p>
    <w:p w14:paraId="15A6BCB9">
      <w:pPr>
        <w:rPr>
          <w:rFonts w:hint="eastAsia" w:ascii="宋体" w:hAnsi="宋体" w:eastAsia="宋体" w:cs="宋体"/>
          <w:b/>
          <w:bCs/>
          <w:sz w:val="24"/>
          <w:szCs w:val="24"/>
        </w:rPr>
      </w:pPr>
      <w:r>
        <w:rPr>
          <w:rFonts w:hint="eastAsia" w:ascii="宋体" w:hAnsi="宋体" w:eastAsia="宋体" w:cs="宋体"/>
          <w:b/>
          <w:bCs/>
          <w:sz w:val="24"/>
          <w:szCs w:val="24"/>
        </w:rPr>
        <w:t>硬件参数：</w:t>
      </w:r>
    </w:p>
    <w:p w14:paraId="705D7D0D">
      <w:pPr>
        <w:numPr>
          <w:ilvl w:val="0"/>
          <w:numId w:val="1"/>
        </w:numPr>
        <w:rPr>
          <w:rFonts w:hint="eastAsia" w:ascii="宋体" w:hAnsi="宋体" w:eastAsia="宋体" w:cs="宋体"/>
          <w:sz w:val="24"/>
          <w:szCs w:val="24"/>
        </w:rPr>
      </w:pPr>
      <w:r>
        <w:rPr>
          <w:rFonts w:hint="eastAsia" w:ascii="宋体" w:hAnsi="宋体" w:eastAsia="宋体" w:cs="宋体"/>
          <w:sz w:val="24"/>
          <w:szCs w:val="24"/>
        </w:rPr>
        <w:t>整机通过YY/T 0994-2015 磁刺激设备行业标准，通过EMC电磁兼容测试。</w:t>
      </w:r>
    </w:p>
    <w:p w14:paraId="5E6B8738">
      <w:pPr>
        <w:numPr>
          <w:ilvl w:val="0"/>
          <w:numId w:val="1"/>
        </w:numPr>
        <w:rPr>
          <w:rFonts w:hint="eastAsia" w:ascii="宋体" w:hAnsi="宋体" w:eastAsia="宋体" w:cs="宋体"/>
          <w:sz w:val="24"/>
          <w:szCs w:val="24"/>
        </w:rPr>
      </w:pPr>
      <w:r>
        <w:rPr>
          <w:rFonts w:hint="eastAsia" w:ascii="宋体" w:hAnsi="宋体" w:eastAsia="宋体" w:cs="宋体"/>
          <w:sz w:val="24"/>
          <w:szCs w:val="24"/>
        </w:rPr>
        <w:t>产品用于刺激人体中枢神经和外周神经，适用范围包含骶神经功能障碍的辅助治疗。</w:t>
      </w:r>
    </w:p>
    <w:p w14:paraId="59249352">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磁刺激主机和治疗座椅分体式设计，主机一体式设计，脉冲源、冷却系统集成在同一主机机箱内；非堆叠结构，无倾覆、坠落风险。</w:t>
      </w:r>
    </w:p>
    <w:p w14:paraId="4445EBD2">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标配盆底磁刺激专用座椅，</w:t>
      </w:r>
      <w:bookmarkStart w:id="0" w:name="OLE_LINK2"/>
      <w:bookmarkStart w:id="1" w:name="OLE_LINK1"/>
      <w:r>
        <w:rPr>
          <w:rFonts w:hint="eastAsia" w:ascii="宋体" w:hAnsi="宋体" w:eastAsia="宋体" w:cs="宋体"/>
          <w:sz w:val="24"/>
          <w:szCs w:val="24"/>
        </w:rPr>
        <w:t>座椅靠背角度可调，可放平至180</w:t>
      </w:r>
      <w:bookmarkEnd w:id="0"/>
      <w:bookmarkEnd w:id="1"/>
      <w:r>
        <w:rPr>
          <w:rFonts w:hint="eastAsia" w:ascii="宋体" w:hAnsi="宋体" w:eastAsia="宋体" w:cs="宋体"/>
          <w:sz w:val="24"/>
          <w:szCs w:val="24"/>
        </w:rPr>
        <w:t>°。</w:t>
      </w:r>
    </w:p>
    <w:p w14:paraId="6DACFBBD">
      <w:pPr>
        <w:numPr>
          <w:ilvl w:val="0"/>
          <w:numId w:val="1"/>
        </w:numPr>
        <w:rPr>
          <w:rFonts w:hint="eastAsia" w:ascii="宋体" w:hAnsi="宋体" w:eastAsia="宋体" w:cs="宋体"/>
          <w:sz w:val="24"/>
          <w:szCs w:val="24"/>
        </w:rPr>
      </w:pPr>
      <w:r>
        <w:rPr>
          <w:rFonts w:hint="eastAsia" w:ascii="宋体" w:hAnsi="宋体" w:eastAsia="宋体" w:cs="宋体"/>
          <w:sz w:val="24"/>
          <w:szCs w:val="24"/>
        </w:rPr>
        <w:t>座椅靠背及腿托可进行座椅按键、电脑软件与磁刺激主机三模式调节，软件控制治疗座椅进行盆底坐位、骶神经仰卧位与俯卧位三模式一键自动切换。</w:t>
      </w:r>
    </w:p>
    <w:p w14:paraId="7C123D4A">
      <w:pPr>
        <w:numPr>
          <w:ilvl w:val="0"/>
          <w:numId w:val="1"/>
        </w:numPr>
        <w:rPr>
          <w:rFonts w:hint="eastAsia" w:ascii="宋体" w:hAnsi="宋体" w:eastAsia="宋体" w:cs="宋体"/>
          <w:sz w:val="24"/>
          <w:szCs w:val="24"/>
        </w:rPr>
      </w:pPr>
      <w:r>
        <w:rPr>
          <w:rFonts w:hint="eastAsia" w:ascii="宋体" w:hAnsi="宋体" w:eastAsia="宋体" w:cs="宋体"/>
          <w:sz w:val="24"/>
          <w:szCs w:val="24"/>
        </w:rPr>
        <w:t>标配</w:t>
      </w:r>
      <w:r>
        <w:rPr>
          <w:rFonts w:hint="eastAsia" w:ascii="宋体" w:hAnsi="宋体" w:eastAsia="宋体" w:cs="宋体"/>
          <w:sz w:val="24"/>
          <w:szCs w:val="24"/>
          <w:lang w:val="en-US" w:eastAsia="zh-CN"/>
        </w:rPr>
        <w:t>≥</w:t>
      </w:r>
      <w:r>
        <w:rPr>
          <w:rFonts w:hint="eastAsia" w:ascii="宋体" w:hAnsi="宋体" w:eastAsia="宋体" w:cs="宋体"/>
          <w:sz w:val="24"/>
          <w:szCs w:val="24"/>
        </w:rPr>
        <w:t>2个液冷线圈，包括盆底铁芯线圈和外周刺激线圈，满足临床对不同部位的治疗需求。</w:t>
      </w:r>
    </w:p>
    <w:p w14:paraId="2778BBBE">
      <w:pPr>
        <w:numPr>
          <w:ilvl w:val="0"/>
          <w:numId w:val="1"/>
        </w:numPr>
        <w:rPr>
          <w:rFonts w:hint="eastAsia" w:ascii="宋体" w:hAnsi="宋体" w:eastAsia="宋体" w:cs="宋体"/>
          <w:sz w:val="24"/>
          <w:szCs w:val="24"/>
        </w:rPr>
      </w:pPr>
      <w:r>
        <w:rPr>
          <w:rFonts w:hint="eastAsia" w:ascii="宋体" w:hAnsi="宋体" w:eastAsia="宋体" w:cs="宋体"/>
          <w:sz w:val="24"/>
          <w:szCs w:val="24"/>
        </w:rPr>
        <w:t>盆底铁芯线圈同时适用于盆底刺激和骶神经刺激。</w:t>
      </w:r>
    </w:p>
    <w:p w14:paraId="3504C682">
      <w:pPr>
        <w:numPr>
          <w:ilvl w:val="0"/>
          <w:numId w:val="1"/>
        </w:numPr>
        <w:rPr>
          <w:rFonts w:hint="eastAsia" w:ascii="宋体" w:hAnsi="宋体" w:eastAsia="宋体" w:cs="宋体"/>
          <w:sz w:val="24"/>
          <w:szCs w:val="24"/>
        </w:rPr>
      </w:pPr>
      <w:r>
        <w:rPr>
          <w:rFonts w:hint="eastAsia" w:ascii="宋体" w:hAnsi="宋体" w:eastAsia="宋体" w:cs="宋体"/>
          <w:sz w:val="24"/>
          <w:szCs w:val="24"/>
        </w:rPr>
        <w:t>外周刺激线圈可以通过线圈把手按键进行强度调节和触发磁刺激输出，可显示实时线圈温度。</w:t>
      </w:r>
    </w:p>
    <w:p w14:paraId="6B348934">
      <w:pPr>
        <w:numPr>
          <w:ilvl w:val="0"/>
          <w:numId w:val="1"/>
        </w:numPr>
        <w:rPr>
          <w:rFonts w:hint="eastAsia" w:ascii="宋体" w:hAnsi="宋体" w:eastAsia="宋体" w:cs="宋体"/>
          <w:sz w:val="24"/>
          <w:szCs w:val="24"/>
        </w:rPr>
      </w:pPr>
      <w:r>
        <w:rPr>
          <w:rFonts w:hint="eastAsia" w:ascii="宋体" w:hAnsi="宋体" w:eastAsia="宋体" w:cs="宋体"/>
          <w:sz w:val="24"/>
          <w:szCs w:val="24"/>
        </w:rPr>
        <w:t>支持一键开机，直接进入操作软件。</w:t>
      </w:r>
    </w:p>
    <w:p w14:paraId="468FA823">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采用实体按键进行选择、键入等动作，非触摸屏操作，防止由误触导致刺激参数突然变化，避免引起患者治疗风险。</w:t>
      </w:r>
    </w:p>
    <w:p w14:paraId="16F8F835">
      <w:pPr>
        <w:numPr>
          <w:ilvl w:val="0"/>
          <w:numId w:val="1"/>
        </w:numPr>
        <w:rPr>
          <w:rFonts w:hint="eastAsia" w:ascii="宋体" w:hAnsi="宋体" w:eastAsia="宋体" w:cs="宋体"/>
          <w:sz w:val="24"/>
          <w:szCs w:val="24"/>
        </w:rPr>
      </w:pPr>
      <w:r>
        <w:rPr>
          <w:rFonts w:hint="eastAsia" w:ascii="宋体" w:hAnsi="宋体" w:eastAsia="宋体" w:cs="宋体"/>
          <w:sz w:val="24"/>
          <w:szCs w:val="24"/>
        </w:rPr>
        <w:t>磁刺激强度可进行电脑软件、磁刺激主机旋钮和拍头按键多模式调节。</w:t>
      </w:r>
    </w:p>
    <w:p w14:paraId="72BA7073">
      <w:pPr>
        <w:numPr>
          <w:ilvl w:val="0"/>
          <w:numId w:val="1"/>
        </w:numPr>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21.5寸主副双屏配置，主屏医护操作，副屏患者观看，医患实时互动。</w:t>
      </w:r>
    </w:p>
    <w:p w14:paraId="6AD47ACE">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采用液态内循环冷却系统联合风冷系统，散热效率高，保证设备长时间运行，可实现系统温度≤40℃。防护系统实时监测线圈温度，安全预警暂停工作，保证安全使用。</w:t>
      </w:r>
    </w:p>
    <w:p w14:paraId="74B12155">
      <w:pPr>
        <w:numPr>
          <w:ilvl w:val="0"/>
          <w:numId w:val="1"/>
        </w:numPr>
        <w:rPr>
          <w:rFonts w:hint="eastAsia" w:ascii="宋体" w:hAnsi="宋体" w:eastAsia="宋体" w:cs="宋体"/>
          <w:sz w:val="24"/>
          <w:szCs w:val="24"/>
        </w:rPr>
      </w:pPr>
      <w:r>
        <w:rPr>
          <w:rFonts w:hint="eastAsia" w:ascii="宋体" w:hAnsi="宋体" w:eastAsia="宋体" w:cs="宋体"/>
          <w:sz w:val="24"/>
          <w:szCs w:val="24"/>
        </w:rPr>
        <w:t>磁刺激设备包含体外反馈模块（盆底运动检测模块），用于检测盆底运动。</w:t>
      </w:r>
    </w:p>
    <w:p w14:paraId="74782D4A">
      <w:pPr>
        <w:numPr>
          <w:ilvl w:val="0"/>
          <w:numId w:val="1"/>
        </w:numPr>
        <w:rPr>
          <w:rFonts w:hint="eastAsia" w:ascii="宋体" w:hAnsi="宋体" w:eastAsia="宋体" w:cs="宋体"/>
          <w:sz w:val="24"/>
          <w:szCs w:val="24"/>
        </w:rPr>
      </w:pPr>
      <w:r>
        <w:rPr>
          <w:rFonts w:hint="eastAsia" w:ascii="宋体" w:hAnsi="宋体" w:eastAsia="宋体" w:cs="宋体"/>
          <w:sz w:val="24"/>
          <w:szCs w:val="24"/>
        </w:rPr>
        <w:t>体外反馈模块（盆底运动检测模块）工作频率60GHz±5%</w:t>
      </w:r>
    </w:p>
    <w:p w14:paraId="412DC0E3">
      <w:pPr>
        <w:numPr>
          <w:ilvl w:val="0"/>
          <w:numId w:val="1"/>
        </w:numPr>
        <w:rPr>
          <w:rFonts w:hint="eastAsia" w:ascii="宋体" w:hAnsi="宋体" w:eastAsia="宋体" w:cs="宋体"/>
          <w:sz w:val="24"/>
          <w:szCs w:val="24"/>
        </w:rPr>
      </w:pPr>
      <w:r>
        <w:rPr>
          <w:rFonts w:hint="eastAsia" w:ascii="宋体" w:hAnsi="宋体" w:eastAsia="宋体" w:cs="宋体"/>
          <w:sz w:val="24"/>
          <w:szCs w:val="24"/>
        </w:rPr>
        <w:t>体外反馈模块（盆底运动检测模块）检测范围0.1~120mm，误差0.1mm</w:t>
      </w:r>
    </w:p>
    <w:p w14:paraId="3C481341">
      <w:pPr>
        <w:numPr>
          <w:ilvl w:val="0"/>
          <w:numId w:val="1"/>
        </w:numPr>
        <w:rPr>
          <w:rFonts w:hint="eastAsia" w:ascii="宋体" w:hAnsi="宋体" w:eastAsia="宋体" w:cs="宋体"/>
          <w:sz w:val="24"/>
          <w:szCs w:val="24"/>
        </w:rPr>
      </w:pPr>
      <w:r>
        <w:rPr>
          <w:rFonts w:hint="eastAsia" w:ascii="宋体" w:hAnsi="宋体" w:eastAsia="宋体" w:cs="宋体"/>
          <w:sz w:val="24"/>
          <w:szCs w:val="24"/>
        </w:rPr>
        <w:t>脉冲磁场最大磁感应强度8Tesla。</w:t>
      </w:r>
    </w:p>
    <w:p w14:paraId="6FD1E035">
      <w:pPr>
        <w:numPr>
          <w:ilvl w:val="0"/>
          <w:numId w:val="1"/>
        </w:numPr>
        <w:rPr>
          <w:rFonts w:hint="eastAsia" w:ascii="宋体" w:hAnsi="宋体" w:eastAsia="宋体" w:cs="宋体"/>
          <w:sz w:val="24"/>
          <w:szCs w:val="24"/>
        </w:rPr>
      </w:pPr>
      <w:bookmarkStart w:id="2" w:name="OLE_LINK4"/>
      <w:bookmarkStart w:id="3" w:name="OLE_LINK3"/>
      <w:r>
        <w:rPr>
          <w:rFonts w:hint="eastAsia" w:ascii="宋体" w:hAnsi="宋体" w:eastAsia="宋体" w:cs="宋体"/>
          <w:sz w:val="24"/>
          <w:szCs w:val="24"/>
        </w:rPr>
        <w:t>脉冲磁场最大刺激频率100Hz，允差：±2%，0-100Hz可调。</w:t>
      </w:r>
    </w:p>
    <w:p w14:paraId="61934E4F">
      <w:pPr>
        <w:numPr>
          <w:ilvl w:val="0"/>
          <w:numId w:val="1"/>
        </w:numPr>
        <w:rPr>
          <w:rFonts w:hint="eastAsia" w:ascii="宋体" w:hAnsi="宋体" w:eastAsia="宋体" w:cs="宋体"/>
          <w:sz w:val="24"/>
          <w:szCs w:val="24"/>
        </w:rPr>
      </w:pPr>
      <w:r>
        <w:rPr>
          <w:rFonts w:hint="eastAsia" w:ascii="宋体" w:hAnsi="宋体" w:eastAsia="宋体" w:cs="宋体"/>
          <w:sz w:val="24"/>
          <w:szCs w:val="24"/>
        </w:rPr>
        <w:t>当脉冲频率≤1Hz时，频率调节步长为0.01Hz。</w:t>
      </w:r>
    </w:p>
    <w:p w14:paraId="1BDD7B88">
      <w:pPr>
        <w:numPr>
          <w:ilvl w:val="0"/>
          <w:numId w:val="1"/>
        </w:numPr>
        <w:rPr>
          <w:rFonts w:hint="eastAsia" w:ascii="宋体" w:hAnsi="宋体" w:eastAsia="宋体" w:cs="宋体"/>
          <w:sz w:val="24"/>
          <w:szCs w:val="24"/>
        </w:rPr>
      </w:pPr>
      <w:r>
        <w:rPr>
          <w:rFonts w:hint="eastAsia" w:ascii="宋体" w:hAnsi="宋体" w:eastAsia="宋体" w:cs="宋体"/>
          <w:sz w:val="24"/>
          <w:szCs w:val="24"/>
        </w:rPr>
        <w:t>磁感应强度最大变化率：10kT/s～160kT/s。</w:t>
      </w:r>
      <w:bookmarkEnd w:id="2"/>
      <w:bookmarkEnd w:id="3"/>
    </w:p>
    <w:p w14:paraId="76D83BB4">
      <w:pPr>
        <w:numPr>
          <w:ilvl w:val="0"/>
          <w:numId w:val="1"/>
        </w:numPr>
        <w:rPr>
          <w:rFonts w:hint="eastAsia" w:ascii="宋体" w:hAnsi="宋体" w:eastAsia="宋体" w:cs="宋体"/>
          <w:sz w:val="24"/>
          <w:szCs w:val="24"/>
        </w:rPr>
      </w:pPr>
      <w:r>
        <w:rPr>
          <w:rFonts w:hint="eastAsia" w:ascii="宋体" w:hAnsi="宋体" w:eastAsia="宋体" w:cs="宋体"/>
          <w:sz w:val="24"/>
          <w:szCs w:val="24"/>
        </w:rPr>
        <w:t>脉冲上升时间：50μs±15μs。</w:t>
      </w:r>
    </w:p>
    <w:p w14:paraId="0A1BB88D">
      <w:pPr>
        <w:widowControl w:val="0"/>
        <w:numPr>
          <w:ilvl w:val="0"/>
          <w:numId w:val="1"/>
        </w:numPr>
        <w:jc w:val="both"/>
        <w:rPr>
          <w:rFonts w:hint="eastAsia" w:ascii="宋体" w:hAnsi="宋体" w:eastAsia="宋体" w:cs="宋体"/>
          <w:sz w:val="24"/>
          <w:szCs w:val="24"/>
        </w:rPr>
      </w:pPr>
      <w:r>
        <w:rPr>
          <w:rFonts w:hint="eastAsia" w:ascii="宋体" w:hAnsi="宋体" w:eastAsia="宋体" w:cs="宋体"/>
          <w:sz w:val="24"/>
          <w:szCs w:val="24"/>
        </w:rPr>
        <w:t>单个脉冲持续时间：340μs±20μs。</w:t>
      </w:r>
    </w:p>
    <w:p w14:paraId="0A71A57A">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配置双通道运动诱发电位检测模块，采集模块集成于主机内部，直接由主机供电。</w:t>
      </w:r>
    </w:p>
    <w:p w14:paraId="30D58020">
      <w:pPr>
        <w:numPr>
          <w:ilvl w:val="0"/>
          <w:numId w:val="1"/>
        </w:numPr>
        <w:rPr>
          <w:rFonts w:hint="eastAsia" w:ascii="宋体" w:hAnsi="宋体" w:eastAsia="宋体" w:cs="宋体"/>
          <w:kern w:val="0"/>
          <w:sz w:val="24"/>
          <w:szCs w:val="24"/>
        </w:rPr>
      </w:pPr>
      <w:r>
        <w:rPr>
          <w:rFonts w:hint="eastAsia" w:ascii="宋体" w:hAnsi="宋体" w:eastAsia="宋体" w:cs="宋体"/>
          <w:sz w:val="24"/>
          <w:szCs w:val="24"/>
        </w:rPr>
        <w:t>运动诱发电位采集模块与主机通讯无需USB有线或蓝牙、WIFI无线连接，保障数据传输的稳定性。</w:t>
      </w:r>
    </w:p>
    <w:p w14:paraId="1B71BA73">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运动诱发电位测量灵敏度示值准确度范围：1～3000μV。</w:t>
      </w:r>
    </w:p>
    <w:p w14:paraId="3105BFDF">
      <w:pPr>
        <w:numPr>
          <w:ilvl w:val="0"/>
          <w:numId w:val="1"/>
        </w:numPr>
        <w:rPr>
          <w:rFonts w:hint="eastAsia" w:ascii="宋体" w:hAnsi="宋体" w:eastAsia="宋体" w:cs="宋体"/>
          <w:sz w:val="24"/>
          <w:szCs w:val="24"/>
        </w:rPr>
      </w:pPr>
      <w:r>
        <w:rPr>
          <w:rFonts w:hint="eastAsia" w:ascii="宋体" w:hAnsi="宋体" w:eastAsia="宋体" w:cs="宋体"/>
          <w:sz w:val="24"/>
          <w:szCs w:val="24"/>
        </w:rPr>
        <w:t>运动诱发电位检查最小分辨率≤0.2μV。</w:t>
      </w:r>
    </w:p>
    <w:p w14:paraId="7704798D">
      <w:pPr>
        <w:numPr>
          <w:ilvl w:val="0"/>
          <w:numId w:val="1"/>
        </w:numPr>
        <w:rPr>
          <w:rFonts w:hint="eastAsia" w:ascii="宋体" w:hAnsi="宋体" w:eastAsia="宋体" w:cs="宋体"/>
          <w:sz w:val="24"/>
          <w:szCs w:val="24"/>
        </w:rPr>
      </w:pPr>
      <w:r>
        <w:rPr>
          <w:rFonts w:hint="eastAsia" w:ascii="宋体" w:hAnsi="宋体" w:eastAsia="宋体" w:cs="宋体"/>
          <w:sz w:val="24"/>
          <w:szCs w:val="24"/>
        </w:rPr>
        <w:t>运动诱发电位检查频率范围：20Hz～550Hz。</w:t>
      </w:r>
    </w:p>
    <w:p w14:paraId="7C7D7178">
      <w:pPr>
        <w:numPr>
          <w:ilvl w:val="0"/>
          <w:numId w:val="1"/>
        </w:numPr>
        <w:rPr>
          <w:rFonts w:hint="eastAsia" w:ascii="宋体" w:hAnsi="宋体" w:eastAsia="宋体" w:cs="宋体"/>
          <w:sz w:val="24"/>
          <w:szCs w:val="24"/>
        </w:rPr>
      </w:pPr>
      <w:r>
        <w:rPr>
          <w:rFonts w:hint="eastAsia" w:ascii="宋体" w:hAnsi="宋体" w:eastAsia="宋体" w:cs="宋体"/>
          <w:sz w:val="24"/>
          <w:szCs w:val="24"/>
        </w:rPr>
        <w:t>开放式设计平台，具备触发输入输出通用接口，可兼容肌电图等设备。</w:t>
      </w:r>
    </w:p>
    <w:p w14:paraId="6E2F0BB0">
      <w:pPr>
        <w:rPr>
          <w:rFonts w:hint="eastAsia" w:ascii="宋体" w:hAnsi="宋体" w:eastAsia="宋体" w:cs="宋体"/>
          <w:sz w:val="24"/>
          <w:szCs w:val="24"/>
        </w:rPr>
      </w:pPr>
    </w:p>
    <w:p w14:paraId="1DE046CA">
      <w:pPr>
        <w:rPr>
          <w:rFonts w:hint="eastAsia" w:ascii="宋体" w:hAnsi="宋体" w:eastAsia="宋体" w:cs="宋体"/>
          <w:b/>
          <w:sz w:val="24"/>
          <w:szCs w:val="24"/>
        </w:rPr>
      </w:pPr>
      <w:r>
        <w:rPr>
          <w:rFonts w:hint="eastAsia" w:ascii="宋体" w:hAnsi="宋体" w:eastAsia="宋体" w:cs="宋体"/>
          <w:b/>
          <w:sz w:val="24"/>
          <w:szCs w:val="24"/>
        </w:rPr>
        <w:t>软件参数：</w:t>
      </w:r>
    </w:p>
    <w:p w14:paraId="7F3484C2">
      <w:pPr>
        <w:numPr>
          <w:ilvl w:val="0"/>
          <w:numId w:val="1"/>
        </w:numPr>
        <w:rPr>
          <w:rFonts w:hint="eastAsia" w:ascii="宋体" w:hAnsi="宋体" w:eastAsia="宋体" w:cs="宋体"/>
          <w:sz w:val="24"/>
          <w:szCs w:val="24"/>
        </w:rPr>
      </w:pPr>
      <w:r>
        <w:rPr>
          <w:rFonts w:hint="eastAsia" w:ascii="宋体" w:hAnsi="宋体" w:eastAsia="宋体" w:cs="宋体"/>
          <w:sz w:val="24"/>
          <w:szCs w:val="24"/>
        </w:rPr>
        <w:t>具有单脉冲刺激、重复脉冲刺激、TBS爆发序列刺激、重复变频刺激、重复变幅刺激</w:t>
      </w:r>
      <w:r>
        <w:rPr>
          <w:rFonts w:hint="eastAsia" w:ascii="宋体" w:hAnsi="宋体" w:eastAsia="宋体" w:cs="宋体"/>
          <w:sz w:val="24"/>
          <w:szCs w:val="24"/>
          <w:lang w:val="en-US" w:eastAsia="zh-CN"/>
        </w:rPr>
        <w:t>等</w:t>
      </w:r>
      <w:r>
        <w:rPr>
          <w:rFonts w:hint="eastAsia" w:ascii="宋体" w:hAnsi="宋体" w:eastAsia="宋体" w:cs="宋体"/>
          <w:sz w:val="24"/>
          <w:szCs w:val="24"/>
        </w:rPr>
        <w:t>脉冲输出模式，满足临床多种应用场景需求。</w:t>
      </w:r>
    </w:p>
    <w:p w14:paraId="2FC7A5F7">
      <w:pPr>
        <w:numPr>
          <w:ilvl w:val="0"/>
          <w:numId w:val="1"/>
        </w:numPr>
        <w:rPr>
          <w:rFonts w:hint="eastAsia" w:ascii="宋体" w:hAnsi="宋体" w:eastAsia="宋体" w:cs="宋体"/>
          <w:sz w:val="24"/>
          <w:szCs w:val="24"/>
        </w:rPr>
      </w:pPr>
      <w:r>
        <w:rPr>
          <w:rFonts w:hint="eastAsia" w:ascii="宋体" w:hAnsi="宋体" w:eastAsia="宋体" w:cs="宋体"/>
          <w:sz w:val="24"/>
          <w:szCs w:val="24"/>
        </w:rPr>
        <w:t>具有磁刺激、助力磁刺激、触发磁刺激、kegel训练、多媒体训练等多种体外主动和被动训练功能。</w:t>
      </w:r>
    </w:p>
    <w:p w14:paraId="1C6A18B1">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软件具有实时体位坐姿监测和自动校准功能，出现体位移动、坐姿变化时，软件自动提示并重新校准，指导患者进行正确体位坐姿。</w:t>
      </w:r>
    </w:p>
    <w:p w14:paraId="18B73FA9">
      <w:pPr>
        <w:numPr>
          <w:ilvl w:val="0"/>
          <w:numId w:val="1"/>
        </w:numPr>
        <w:rPr>
          <w:rFonts w:hint="eastAsia" w:ascii="宋体" w:hAnsi="宋体" w:eastAsia="宋体" w:cs="宋体"/>
          <w:sz w:val="24"/>
          <w:szCs w:val="24"/>
        </w:rPr>
      </w:pPr>
      <w:r>
        <w:rPr>
          <w:rFonts w:hint="eastAsia" w:ascii="宋体" w:hAnsi="宋体" w:eastAsia="宋体" w:cs="宋体"/>
          <w:sz w:val="24"/>
          <w:szCs w:val="24"/>
        </w:rPr>
        <w:t>内置多种临床治疗方案供医生选择，包含压力性尿失禁、急迫性尿失禁、尿潴留、盆腔脏器脱垂、便秘、大便失禁、慢性前列腺炎、慢性盆腔疼痛等。且所有内置方案参数可查看，也可以导入导出。</w:t>
      </w:r>
      <w:bookmarkStart w:id="4" w:name="OLE_LINK12"/>
      <w:bookmarkStart w:id="5" w:name="OLE_LINK11"/>
    </w:p>
    <w:p w14:paraId="7927E0B1">
      <w:pPr>
        <w:numPr>
          <w:ilvl w:val="0"/>
          <w:numId w:val="1"/>
        </w:numPr>
        <w:rPr>
          <w:rFonts w:hint="eastAsia" w:ascii="宋体" w:hAnsi="宋体" w:eastAsia="宋体" w:cs="宋体"/>
          <w:sz w:val="24"/>
          <w:szCs w:val="24"/>
        </w:rPr>
      </w:pPr>
      <w:r>
        <w:rPr>
          <w:rFonts w:hint="eastAsia" w:ascii="宋体" w:hAnsi="宋体" w:eastAsia="宋体" w:cs="宋体"/>
          <w:sz w:val="24"/>
          <w:szCs w:val="24"/>
        </w:rPr>
        <w:t>具有体外评估功能，可检测盆底收缩时会阴体抬升高度，用于评估盆底肌运动水平，评估指标包括：快速收缩阶段最大值、快速收缩阶段上升时间、快速收缩阶段恢复时间、持续收缩阶段平均值、持续收缩阶段变异性、持续收缩阶段上升时间、持续收缩阶段恢复时间。</w:t>
      </w:r>
    </w:p>
    <w:p w14:paraId="2FA1926E">
      <w:pPr>
        <w:numPr>
          <w:ilvl w:val="0"/>
          <w:numId w:val="1"/>
        </w:numPr>
        <w:rPr>
          <w:rFonts w:hint="eastAsia" w:ascii="宋体" w:hAnsi="宋体" w:eastAsia="宋体" w:cs="宋体"/>
          <w:sz w:val="24"/>
          <w:szCs w:val="24"/>
        </w:rPr>
      </w:pPr>
      <w:r>
        <w:rPr>
          <w:rFonts w:hint="eastAsia" w:ascii="宋体" w:hAnsi="宋体" w:eastAsia="宋体" w:cs="宋体"/>
          <w:sz w:val="24"/>
          <w:szCs w:val="24"/>
        </w:rPr>
        <w:t>盆底肌运动水平评估报告包括评估指标测试值、参考值、盆底肌抬升运动轨迹图、报告简要解读说明和治疗建议。</w:t>
      </w:r>
    </w:p>
    <w:p w14:paraId="298D081F">
      <w:pPr>
        <w:numPr>
          <w:ilvl w:val="0"/>
          <w:numId w:val="1"/>
        </w:numPr>
        <w:rPr>
          <w:rFonts w:hint="eastAsia" w:ascii="宋体" w:hAnsi="宋体" w:eastAsia="宋体" w:cs="宋体"/>
          <w:sz w:val="24"/>
          <w:szCs w:val="24"/>
        </w:rPr>
      </w:pPr>
      <w:r>
        <w:rPr>
          <w:rFonts w:hint="eastAsia" w:ascii="宋体" w:hAnsi="宋体" w:eastAsia="宋体" w:cs="宋体"/>
          <w:sz w:val="24"/>
          <w:szCs w:val="24"/>
        </w:rPr>
        <w:t>可对评估报告的模板进行设置，包括自定义报告的医院名称、报告解读、诊断结果、治疗建议。</w:t>
      </w:r>
    </w:p>
    <w:p w14:paraId="364865B3">
      <w:pPr>
        <w:numPr>
          <w:ilvl w:val="0"/>
          <w:numId w:val="1"/>
        </w:numPr>
        <w:rPr>
          <w:rFonts w:hint="eastAsia" w:ascii="宋体" w:hAnsi="宋体" w:eastAsia="宋体" w:cs="宋体"/>
          <w:sz w:val="24"/>
          <w:szCs w:val="24"/>
        </w:rPr>
      </w:pPr>
      <w:r>
        <w:rPr>
          <w:rFonts w:hint="eastAsia" w:ascii="宋体" w:hAnsi="宋体" w:eastAsia="宋体" w:cs="宋体"/>
          <w:sz w:val="24"/>
          <w:szCs w:val="24"/>
        </w:rPr>
        <w:t>系统支持与生物刺激反馈类设备之间数据共享，可自动接收生物刺激反馈类设备生成的磁电疗程化治疗方案及患者基本信息、治疗记录等数据，实现患者治疗数据的自动实时同步。</w:t>
      </w:r>
      <w:bookmarkEnd w:id="4"/>
      <w:bookmarkEnd w:id="5"/>
    </w:p>
    <w:p w14:paraId="755CFD79">
      <w:pPr>
        <w:numPr>
          <w:ilvl w:val="0"/>
          <w:numId w:val="1"/>
        </w:numPr>
        <w:rPr>
          <w:rFonts w:hint="eastAsia" w:ascii="宋体" w:hAnsi="宋体" w:eastAsia="宋体" w:cs="宋体"/>
          <w:sz w:val="24"/>
          <w:szCs w:val="24"/>
        </w:rPr>
      </w:pPr>
      <w:r>
        <w:rPr>
          <w:rFonts w:hint="eastAsia" w:ascii="宋体" w:hAnsi="宋体" w:eastAsia="宋体" w:cs="宋体"/>
          <w:sz w:val="24"/>
          <w:szCs w:val="24"/>
        </w:rPr>
        <w:t>系统支持自动接收超声影像设备生成磁、电、热联合治疗方案，可实现数据同步。</w:t>
      </w:r>
    </w:p>
    <w:p w14:paraId="081A2963">
      <w:pPr>
        <w:numPr>
          <w:ilvl w:val="0"/>
          <w:numId w:val="1"/>
        </w:numPr>
        <w:rPr>
          <w:rFonts w:hint="eastAsia" w:ascii="宋体" w:hAnsi="宋体" w:eastAsia="宋体" w:cs="宋体"/>
          <w:sz w:val="24"/>
          <w:szCs w:val="24"/>
        </w:rPr>
      </w:pPr>
      <w:r>
        <w:rPr>
          <w:rFonts w:hint="eastAsia" w:ascii="宋体" w:hAnsi="宋体" w:eastAsia="宋体" w:cs="宋体"/>
          <w:sz w:val="24"/>
          <w:szCs w:val="24"/>
        </w:rPr>
        <w:t>疗程化方案治疗，可自动按照当前治疗次数调用对应的治疗方案进行治疗，也可手动调整方案。</w:t>
      </w:r>
    </w:p>
    <w:p w14:paraId="63DAD99E">
      <w:pPr>
        <w:numPr>
          <w:ilvl w:val="0"/>
          <w:numId w:val="1"/>
        </w:numPr>
        <w:rPr>
          <w:rFonts w:hint="eastAsia" w:ascii="宋体" w:hAnsi="宋体" w:eastAsia="宋体" w:cs="宋体"/>
          <w:sz w:val="24"/>
          <w:szCs w:val="24"/>
        </w:rPr>
      </w:pPr>
      <w:r>
        <w:rPr>
          <w:rFonts w:hint="eastAsia" w:ascii="宋体" w:hAnsi="宋体" w:eastAsia="宋体" w:cs="宋体"/>
          <w:sz w:val="24"/>
          <w:szCs w:val="24"/>
        </w:rPr>
        <w:t>组合式方案治疗，可进行多个方案联合，然后一键开启治疗。</w:t>
      </w:r>
    </w:p>
    <w:p w14:paraId="6BCDB725">
      <w:pPr>
        <w:numPr>
          <w:ilvl w:val="0"/>
          <w:numId w:val="1"/>
        </w:numPr>
        <w:rPr>
          <w:rFonts w:hint="eastAsia" w:ascii="宋体" w:hAnsi="宋体" w:eastAsia="宋体" w:cs="宋体"/>
          <w:sz w:val="24"/>
          <w:szCs w:val="24"/>
        </w:rPr>
      </w:pPr>
      <w:r>
        <w:rPr>
          <w:rFonts w:hint="eastAsia" w:ascii="宋体" w:hAnsi="宋体" w:eastAsia="宋体" w:cs="宋体"/>
          <w:sz w:val="24"/>
          <w:szCs w:val="24"/>
        </w:rPr>
        <w:t>系统可根据盆底评估结果自动生成针对不同患者的组合治疗方案。</w:t>
      </w:r>
    </w:p>
    <w:p w14:paraId="3630AFC4">
      <w:pPr>
        <w:numPr>
          <w:ilvl w:val="0"/>
          <w:numId w:val="1"/>
        </w:numPr>
        <w:rPr>
          <w:rFonts w:hint="eastAsia" w:ascii="宋体" w:hAnsi="宋体" w:eastAsia="宋体" w:cs="宋体"/>
          <w:sz w:val="24"/>
          <w:szCs w:val="24"/>
        </w:rPr>
      </w:pPr>
      <w:r>
        <w:rPr>
          <w:rFonts w:hint="eastAsia" w:ascii="宋体" w:hAnsi="宋体" w:eastAsia="宋体" w:cs="宋体"/>
          <w:sz w:val="24"/>
          <w:szCs w:val="24"/>
        </w:rPr>
        <w:t>具有方案自定义功能，可用于疗程方案设置和独立方案设置。</w:t>
      </w:r>
    </w:p>
    <w:p w14:paraId="07B57762">
      <w:pPr>
        <w:numPr>
          <w:ilvl w:val="0"/>
          <w:numId w:val="1"/>
        </w:numPr>
        <w:rPr>
          <w:rFonts w:hint="eastAsia" w:ascii="宋体" w:hAnsi="宋体" w:eastAsia="宋体" w:cs="宋体"/>
          <w:sz w:val="24"/>
          <w:szCs w:val="24"/>
        </w:rPr>
      </w:pPr>
      <w:r>
        <w:rPr>
          <w:rFonts w:hint="eastAsia" w:ascii="宋体" w:hAnsi="宋体" w:eastAsia="宋体" w:cs="宋体"/>
        </w:rPr>
        <w:t>▲</w:t>
      </w:r>
      <w:r>
        <w:rPr>
          <w:rFonts w:hint="eastAsia" w:ascii="宋体" w:hAnsi="宋体" w:eastAsia="宋体" w:cs="宋体"/>
          <w:sz w:val="24"/>
          <w:szCs w:val="24"/>
        </w:rPr>
        <w:t>磁刺激治疗方案参数可自定义设置，包括刺激部位、刺激频率、刺激时间、间歇时间、休息时间、重复次数等。单次治疗方案可设置</w:t>
      </w:r>
      <w:r>
        <w:rPr>
          <w:rFonts w:hint="eastAsia" w:ascii="宋体" w:hAnsi="宋体" w:eastAsia="宋体" w:cs="宋体"/>
          <w:sz w:val="24"/>
          <w:szCs w:val="24"/>
          <w:lang w:val="en-US" w:eastAsia="zh-CN"/>
        </w:rPr>
        <w:t>≥</w:t>
      </w:r>
      <w:r>
        <w:rPr>
          <w:rFonts w:hint="eastAsia" w:ascii="宋体" w:hAnsi="宋体" w:eastAsia="宋体" w:cs="宋体"/>
          <w:sz w:val="24"/>
          <w:szCs w:val="24"/>
        </w:rPr>
        <w:t>10种不同频率循环刺激，实现重复变频刺激。</w:t>
      </w:r>
    </w:p>
    <w:p w14:paraId="63BC1D69">
      <w:pPr>
        <w:numPr>
          <w:ilvl w:val="0"/>
          <w:numId w:val="1"/>
        </w:numPr>
        <w:rPr>
          <w:rFonts w:hint="eastAsia" w:ascii="宋体" w:hAnsi="宋体" w:eastAsia="宋体" w:cs="宋体"/>
          <w:sz w:val="24"/>
          <w:szCs w:val="24"/>
        </w:rPr>
      </w:pPr>
      <w:r>
        <w:rPr>
          <w:rFonts w:hint="eastAsia" w:ascii="宋体" w:hAnsi="宋体" w:eastAsia="宋体" w:cs="宋体"/>
          <w:sz w:val="24"/>
          <w:szCs w:val="24"/>
        </w:rPr>
        <w:t>治疗开始时、治疗结束时均有语音提示，提示患者做好准备，避免突然的刺激惊吓患者。</w:t>
      </w:r>
    </w:p>
    <w:p w14:paraId="66992FD2">
      <w:pPr>
        <w:numPr>
          <w:ilvl w:val="0"/>
          <w:numId w:val="1"/>
        </w:numPr>
        <w:rPr>
          <w:rFonts w:hint="eastAsia" w:ascii="宋体" w:hAnsi="宋体" w:eastAsia="宋体" w:cs="宋体"/>
          <w:sz w:val="24"/>
          <w:szCs w:val="24"/>
        </w:rPr>
      </w:pPr>
      <w:r>
        <w:rPr>
          <w:rFonts w:hint="eastAsia" w:ascii="宋体" w:hAnsi="宋体" w:eastAsia="宋体" w:cs="宋体"/>
          <w:sz w:val="24"/>
          <w:szCs w:val="24"/>
        </w:rPr>
        <w:t>治疗过程中可对刺激强度进行连续调节，同时显示方案的输出进程，已完成/剩余脉冲个数及刺激时间。</w:t>
      </w:r>
    </w:p>
    <w:p w14:paraId="79028CBF">
      <w:pPr>
        <w:numPr>
          <w:ilvl w:val="0"/>
          <w:numId w:val="1"/>
        </w:numPr>
        <w:rPr>
          <w:rFonts w:hint="eastAsia" w:ascii="宋体" w:hAnsi="宋体" w:eastAsia="宋体" w:cs="宋体"/>
          <w:sz w:val="24"/>
          <w:szCs w:val="24"/>
        </w:rPr>
      </w:pPr>
      <w:r>
        <w:rPr>
          <w:rFonts w:hint="eastAsia" w:ascii="宋体" w:hAnsi="宋体" w:eastAsia="宋体" w:cs="宋体"/>
          <w:sz w:val="24"/>
          <w:szCs w:val="24"/>
        </w:rPr>
        <w:t>刺激方案具有患者体位示意图，提示患者磁刺激刺激部位或摆放姿势体位，更有效的指导患者配合治疗。</w:t>
      </w:r>
    </w:p>
    <w:p w14:paraId="0ACCE8E3">
      <w:pPr>
        <w:numPr>
          <w:ilvl w:val="0"/>
          <w:numId w:val="1"/>
        </w:numPr>
        <w:rPr>
          <w:rFonts w:hint="eastAsia" w:ascii="宋体" w:hAnsi="宋体" w:eastAsia="宋体" w:cs="宋体"/>
          <w:sz w:val="24"/>
          <w:szCs w:val="24"/>
        </w:rPr>
      </w:pPr>
      <w:r>
        <w:rPr>
          <w:rFonts w:hint="eastAsia" w:ascii="宋体" w:hAnsi="宋体" w:eastAsia="宋体" w:cs="宋体"/>
          <w:sz w:val="24"/>
          <w:szCs w:val="24"/>
        </w:rPr>
        <w:t>具有数据管理功能，可以对工作量等治疗数据进行统计分析，还可以回顾数据结果、波形，实现病历管理或病历导出。</w:t>
      </w:r>
    </w:p>
    <w:p w14:paraId="0AE77B8D">
      <w:pPr>
        <w:numPr>
          <w:ilvl w:val="0"/>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二、配置清单：</w:t>
      </w:r>
    </w:p>
    <w:tbl>
      <w:tblPr>
        <w:tblStyle w:val="7"/>
        <w:tblW w:w="0" w:type="auto"/>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6"/>
        <w:gridCol w:w="3746"/>
        <w:gridCol w:w="1193"/>
        <w:gridCol w:w="985"/>
      </w:tblGrid>
      <w:tr w14:paraId="0ECB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4" w:space="0"/>
              <w:left w:val="single" w:color="auto" w:sz="4" w:space="0"/>
              <w:bottom w:val="single" w:color="auto" w:sz="6" w:space="0"/>
              <w:right w:val="single" w:color="auto" w:sz="6" w:space="0"/>
              <w:tl2br w:val="nil"/>
              <w:tr2bl w:val="nil"/>
            </w:tcBorders>
            <w:noWrap w:val="0"/>
            <w:vAlign w:val="top"/>
          </w:tcPr>
          <w:p w14:paraId="7006CF3C">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序号</w:t>
            </w:r>
          </w:p>
        </w:tc>
        <w:tc>
          <w:tcPr>
            <w:tcW w:w="3746" w:type="dxa"/>
            <w:tcBorders>
              <w:top w:val="single" w:color="auto" w:sz="4" w:space="0"/>
              <w:left w:val="single" w:color="auto" w:sz="6" w:space="0"/>
              <w:bottom w:val="single" w:color="auto" w:sz="6" w:space="0"/>
              <w:right w:val="single" w:color="auto" w:sz="6" w:space="0"/>
              <w:tl2br w:val="nil"/>
              <w:tr2bl w:val="nil"/>
            </w:tcBorders>
            <w:noWrap w:val="0"/>
            <w:vAlign w:val="top"/>
          </w:tcPr>
          <w:p w14:paraId="72540C37">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配置</w:t>
            </w:r>
          </w:p>
        </w:tc>
        <w:tc>
          <w:tcPr>
            <w:tcW w:w="1193" w:type="dxa"/>
            <w:tcBorders>
              <w:top w:val="single" w:color="auto" w:sz="4" w:space="0"/>
              <w:left w:val="single" w:color="auto" w:sz="6" w:space="0"/>
              <w:bottom w:val="single" w:color="auto" w:sz="6" w:space="0"/>
              <w:right w:val="single" w:color="auto" w:sz="6" w:space="0"/>
              <w:tl2br w:val="nil"/>
              <w:tr2bl w:val="nil"/>
            </w:tcBorders>
            <w:noWrap w:val="0"/>
            <w:vAlign w:val="top"/>
          </w:tcPr>
          <w:p w14:paraId="013DDDF7">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单位</w:t>
            </w:r>
          </w:p>
        </w:tc>
        <w:tc>
          <w:tcPr>
            <w:tcW w:w="985" w:type="dxa"/>
            <w:tcBorders>
              <w:top w:val="single" w:color="auto" w:sz="4" w:space="0"/>
              <w:left w:val="single" w:color="auto" w:sz="6" w:space="0"/>
              <w:bottom w:val="single" w:color="auto" w:sz="6" w:space="0"/>
              <w:right w:val="single" w:color="auto" w:sz="4" w:space="0"/>
              <w:tl2br w:val="nil"/>
              <w:tr2bl w:val="nil"/>
            </w:tcBorders>
            <w:noWrap w:val="0"/>
            <w:vAlign w:val="top"/>
          </w:tcPr>
          <w:p w14:paraId="6E539499">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数量</w:t>
            </w:r>
          </w:p>
        </w:tc>
      </w:tr>
      <w:tr w14:paraId="39CC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2193CF93">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1</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78CB3E31">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磁刺激仪主机（0-100Hz）</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42F2074D">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64B3E580">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5193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0DFDFA42">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2</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7CCE0A52">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液态内循环冷却系统</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25F2320C">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3BCDAC24">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5AD2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56A208F3">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3</w:t>
            </w:r>
          </w:p>
        </w:tc>
        <w:tc>
          <w:tcPr>
            <w:tcW w:w="3746" w:type="dxa"/>
            <w:tcBorders>
              <w:top w:val="single" w:color="auto" w:sz="6" w:space="0"/>
              <w:left w:val="single" w:color="auto" w:sz="6" w:space="0"/>
              <w:bottom w:val="single" w:color="auto" w:sz="6" w:space="0"/>
              <w:right w:val="single" w:color="auto" w:sz="6" w:space="0"/>
              <w:tl2br w:val="nil"/>
              <w:tr2bl w:val="nil"/>
            </w:tcBorders>
            <w:noWrap w:val="0"/>
            <w:vAlign w:val="top"/>
          </w:tcPr>
          <w:p w14:paraId="23973A53">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双通道运动诱发电位检测模块</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1A6769F1">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186BD226">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1CAD4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7FD3B2F9">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4</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6DE7840C">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磁刺激软件</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31925D46">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0E09E1A9">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3027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6C618211">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5</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0175EFC7">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恒温磁刺激线圈</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2D8121A4">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6D14FCA7">
            <w:pPr>
              <w:spacing w:beforeLines="0" w:afterLines="0"/>
              <w:jc w:val="center"/>
              <w:rPr>
                <w:rFonts w:hint="eastAsia" w:ascii="宋体" w:hAnsi="宋体" w:eastAsia="宋体" w:cs="宋体"/>
                <w:color w:val="000000"/>
                <w:sz w:val="20"/>
                <w:szCs w:val="24"/>
                <w:lang w:eastAsia="zh-CN"/>
              </w:rPr>
            </w:pPr>
            <w:r>
              <w:rPr>
                <w:rFonts w:hint="eastAsia" w:ascii="宋体" w:hAnsi="宋体" w:eastAsia="宋体" w:cs="宋体"/>
                <w:color w:val="000000"/>
                <w:sz w:val="20"/>
                <w:szCs w:val="24"/>
                <w:lang w:val="en-US" w:eastAsia="zh-CN"/>
              </w:rPr>
              <w:t>2</w:t>
            </w:r>
          </w:p>
        </w:tc>
      </w:tr>
      <w:tr w14:paraId="5398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217114C7">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6</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5469F0ED">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检测电极耗材</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5E712B01">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396E5265">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3A63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40284DD5">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7</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0FBE30A0">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座椅</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039DD94A">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20A703ED">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56D4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28B80D40">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8</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1AB1C815">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盆底运动检测模块</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50C1BB24">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371851E9">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01B0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05B6AA2A">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9</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1460815D">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用户手册</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3DC397F4">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本</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27163925">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06B9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39F24CF5">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10</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4DE7BCC9">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合格证</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31179E41">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张</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174EE00D">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6ADA3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77AF2C58">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11</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46600B7E">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保修卡</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2C11B666">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张</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70AB6423">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39165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4CD87CE8">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12</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349665BE">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操作流程卡</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7402D8FC">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张</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1CC09B0D">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00BB3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182496A8">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13</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65EF153D">
            <w:pPr>
              <w:spacing w:beforeLines="0" w:afterLines="0"/>
              <w:jc w:val="left"/>
              <w:rPr>
                <w:rFonts w:hint="default" w:ascii="宋体" w:hAnsi="宋体" w:eastAsia="宋体" w:cs="宋体"/>
                <w:color w:val="000000"/>
                <w:sz w:val="20"/>
                <w:szCs w:val="24"/>
                <w:lang w:val="en-US" w:eastAsia="zh-CN"/>
              </w:rPr>
            </w:pPr>
            <w:r>
              <w:rPr>
                <w:rFonts w:hint="eastAsia" w:ascii="宋体" w:hAnsi="宋体" w:eastAsia="宋体" w:cs="宋体"/>
                <w:color w:val="000000"/>
                <w:sz w:val="20"/>
                <w:szCs w:val="24"/>
                <w:lang w:val="en-US" w:eastAsia="zh-CN"/>
              </w:rPr>
              <w:t>图文显示设备</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189BB988">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60AE873F">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2</w:t>
            </w:r>
          </w:p>
        </w:tc>
      </w:tr>
      <w:tr w14:paraId="715B4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1013B9CF">
            <w:pPr>
              <w:spacing w:beforeLines="0" w:afterLines="0"/>
              <w:jc w:val="center"/>
              <w:rPr>
                <w:rFonts w:hint="eastAsia" w:ascii="宋体" w:hAnsi="宋体" w:eastAsia="宋体" w:cs="宋体"/>
                <w:b/>
                <w:color w:val="000000"/>
                <w:sz w:val="20"/>
                <w:szCs w:val="24"/>
              </w:rPr>
            </w:pPr>
            <w:r>
              <w:rPr>
                <w:rFonts w:hint="eastAsia" w:ascii="宋体" w:hAnsi="宋体" w:eastAsia="宋体" w:cs="宋体"/>
                <w:b/>
                <w:color w:val="000000"/>
                <w:sz w:val="20"/>
                <w:szCs w:val="24"/>
              </w:rPr>
              <w:t>14</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1B81883D">
            <w:pPr>
              <w:spacing w:beforeLines="0" w:afterLines="0"/>
              <w:jc w:val="left"/>
              <w:rPr>
                <w:rFonts w:hint="default" w:ascii="宋体" w:hAnsi="宋体" w:eastAsia="宋体" w:cs="宋体"/>
                <w:color w:val="000000"/>
                <w:sz w:val="20"/>
                <w:szCs w:val="24"/>
                <w:lang w:val="en-US" w:eastAsia="zh-CN"/>
              </w:rPr>
            </w:pPr>
            <w:r>
              <w:rPr>
                <w:rFonts w:hint="eastAsia" w:ascii="宋体" w:hAnsi="宋体" w:eastAsia="宋体" w:cs="宋体"/>
                <w:color w:val="000000"/>
                <w:sz w:val="20"/>
                <w:szCs w:val="24"/>
                <w:lang w:val="en-US" w:eastAsia="zh-CN"/>
              </w:rPr>
              <w:t>内置图文工作站</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2D3744A3">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台</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032F339C">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71724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2EA3CB44">
            <w:pPr>
              <w:spacing w:beforeLines="0" w:afterLines="0"/>
              <w:jc w:val="center"/>
              <w:rPr>
                <w:rFonts w:hint="default" w:ascii="宋体" w:hAnsi="宋体" w:eastAsia="宋体" w:cs="宋体"/>
                <w:b/>
                <w:color w:val="000000"/>
                <w:sz w:val="20"/>
                <w:szCs w:val="24"/>
                <w:lang w:val="en-US" w:eastAsia="zh-CN"/>
              </w:rPr>
            </w:pPr>
            <w:r>
              <w:rPr>
                <w:rFonts w:hint="eastAsia" w:ascii="宋体" w:hAnsi="宋体" w:eastAsia="宋体" w:cs="宋体"/>
                <w:b/>
                <w:color w:val="000000"/>
                <w:sz w:val="20"/>
                <w:szCs w:val="24"/>
                <w:lang w:val="en-US" w:eastAsia="zh-CN"/>
              </w:rPr>
              <w:t>15</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2557E9A4">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音箱</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35CA7A4B">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个</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2A360B51">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2056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4B0EED9A">
            <w:pPr>
              <w:spacing w:beforeLines="0" w:afterLines="0"/>
              <w:jc w:val="center"/>
              <w:rPr>
                <w:rFonts w:hint="eastAsia" w:ascii="宋体" w:hAnsi="宋体" w:eastAsia="宋体" w:cs="宋体"/>
                <w:b/>
                <w:color w:val="000000"/>
                <w:sz w:val="20"/>
                <w:szCs w:val="24"/>
                <w:lang w:val="en-US" w:eastAsia="zh-CN"/>
              </w:rPr>
            </w:pPr>
            <w:r>
              <w:rPr>
                <w:rFonts w:hint="eastAsia" w:ascii="宋体" w:hAnsi="宋体" w:eastAsia="宋体" w:cs="宋体"/>
                <w:b/>
                <w:color w:val="000000"/>
                <w:sz w:val="20"/>
                <w:szCs w:val="24"/>
              </w:rPr>
              <w:t>1</w:t>
            </w:r>
            <w:r>
              <w:rPr>
                <w:rFonts w:hint="eastAsia" w:ascii="宋体" w:hAnsi="宋体" w:eastAsia="宋体" w:cs="宋体"/>
                <w:b/>
                <w:color w:val="000000"/>
                <w:sz w:val="20"/>
                <w:szCs w:val="24"/>
                <w:lang w:val="en-US" w:eastAsia="zh-CN"/>
              </w:rPr>
              <w:t>6</w:t>
            </w:r>
          </w:p>
        </w:tc>
        <w:tc>
          <w:tcPr>
            <w:tcW w:w="3746" w:type="dxa"/>
            <w:tcBorders>
              <w:top w:val="single" w:color="auto" w:sz="6" w:space="0"/>
              <w:left w:val="single" w:color="auto" w:sz="6" w:space="0"/>
              <w:bottom w:val="single" w:color="auto" w:sz="6" w:space="0"/>
              <w:right w:val="nil"/>
              <w:tl2br w:val="nil"/>
              <w:tr2bl w:val="nil"/>
            </w:tcBorders>
            <w:noWrap w:val="0"/>
            <w:vAlign w:val="top"/>
          </w:tcPr>
          <w:p w14:paraId="11EF7895">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支架</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190501C4">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套</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5C4BC339">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r w14:paraId="366C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346" w:type="dxa"/>
            <w:tcBorders>
              <w:top w:val="single" w:color="auto" w:sz="6" w:space="0"/>
              <w:left w:val="single" w:color="auto" w:sz="4" w:space="0"/>
              <w:bottom w:val="single" w:color="auto" w:sz="6" w:space="0"/>
              <w:right w:val="single" w:color="auto" w:sz="6" w:space="0"/>
              <w:tl2br w:val="nil"/>
              <w:tr2bl w:val="nil"/>
            </w:tcBorders>
            <w:noWrap w:val="0"/>
            <w:vAlign w:val="top"/>
          </w:tcPr>
          <w:p w14:paraId="4FDCDCAA">
            <w:pPr>
              <w:spacing w:beforeLines="0" w:afterLines="0"/>
              <w:jc w:val="center"/>
              <w:rPr>
                <w:rFonts w:hint="default" w:ascii="宋体" w:hAnsi="宋体" w:eastAsia="宋体" w:cs="宋体"/>
                <w:b/>
                <w:color w:val="000000"/>
                <w:sz w:val="20"/>
                <w:szCs w:val="24"/>
                <w:lang w:val="en-US" w:eastAsia="zh-CN"/>
              </w:rPr>
            </w:pPr>
            <w:r>
              <w:rPr>
                <w:rFonts w:hint="eastAsia" w:ascii="宋体" w:hAnsi="宋体" w:eastAsia="宋体" w:cs="宋体"/>
                <w:b/>
                <w:color w:val="000000"/>
                <w:sz w:val="20"/>
                <w:szCs w:val="24"/>
                <w:lang w:val="en-US" w:eastAsia="zh-CN"/>
              </w:rPr>
              <w:t>17</w:t>
            </w:r>
            <w:bookmarkStart w:id="6" w:name="_GoBack"/>
            <w:bookmarkEnd w:id="6"/>
          </w:p>
        </w:tc>
        <w:tc>
          <w:tcPr>
            <w:tcW w:w="3746" w:type="dxa"/>
            <w:tcBorders>
              <w:top w:val="single" w:color="auto" w:sz="6" w:space="0"/>
              <w:left w:val="single" w:color="auto" w:sz="6" w:space="0"/>
              <w:bottom w:val="single" w:color="auto" w:sz="6" w:space="0"/>
              <w:right w:val="nil"/>
              <w:tl2br w:val="nil"/>
              <w:tr2bl w:val="nil"/>
            </w:tcBorders>
            <w:noWrap w:val="0"/>
            <w:vAlign w:val="top"/>
          </w:tcPr>
          <w:p w14:paraId="4365E22C">
            <w:pPr>
              <w:spacing w:beforeLines="0" w:afterLines="0"/>
              <w:jc w:val="left"/>
              <w:rPr>
                <w:rFonts w:hint="eastAsia" w:ascii="宋体" w:hAnsi="宋体" w:eastAsia="宋体" w:cs="宋体"/>
                <w:color w:val="000000"/>
                <w:sz w:val="20"/>
                <w:szCs w:val="24"/>
              </w:rPr>
            </w:pPr>
            <w:r>
              <w:rPr>
                <w:rFonts w:hint="eastAsia" w:ascii="宋体" w:hAnsi="宋体" w:eastAsia="宋体" w:cs="宋体"/>
                <w:color w:val="000000"/>
                <w:sz w:val="20"/>
                <w:szCs w:val="24"/>
              </w:rPr>
              <w:t>座椅脚凳</w:t>
            </w:r>
          </w:p>
        </w:tc>
        <w:tc>
          <w:tcPr>
            <w:tcW w:w="1193" w:type="dxa"/>
            <w:tcBorders>
              <w:top w:val="single" w:color="auto" w:sz="6" w:space="0"/>
              <w:left w:val="single" w:color="auto" w:sz="6" w:space="0"/>
              <w:bottom w:val="single" w:color="auto" w:sz="6" w:space="0"/>
              <w:right w:val="single" w:color="auto" w:sz="6" w:space="0"/>
              <w:tl2br w:val="nil"/>
              <w:tr2bl w:val="nil"/>
            </w:tcBorders>
            <w:noWrap w:val="0"/>
            <w:vAlign w:val="top"/>
          </w:tcPr>
          <w:p w14:paraId="461D2812">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个</w:t>
            </w:r>
          </w:p>
        </w:tc>
        <w:tc>
          <w:tcPr>
            <w:tcW w:w="985" w:type="dxa"/>
            <w:tcBorders>
              <w:top w:val="single" w:color="auto" w:sz="6" w:space="0"/>
              <w:left w:val="single" w:color="auto" w:sz="6" w:space="0"/>
              <w:bottom w:val="single" w:color="auto" w:sz="6" w:space="0"/>
              <w:right w:val="single" w:color="auto" w:sz="4" w:space="0"/>
              <w:tl2br w:val="nil"/>
              <w:tr2bl w:val="nil"/>
            </w:tcBorders>
            <w:noWrap w:val="0"/>
            <w:vAlign w:val="top"/>
          </w:tcPr>
          <w:p w14:paraId="04492981">
            <w:pPr>
              <w:spacing w:beforeLines="0" w:afterLines="0"/>
              <w:jc w:val="center"/>
              <w:rPr>
                <w:rFonts w:hint="eastAsia" w:ascii="宋体" w:hAnsi="宋体" w:eastAsia="宋体" w:cs="宋体"/>
                <w:color w:val="000000"/>
                <w:sz w:val="20"/>
                <w:szCs w:val="24"/>
              </w:rPr>
            </w:pPr>
            <w:r>
              <w:rPr>
                <w:rFonts w:hint="eastAsia" w:ascii="宋体" w:hAnsi="宋体" w:eastAsia="宋体" w:cs="宋体"/>
                <w:color w:val="000000"/>
                <w:sz w:val="20"/>
                <w:szCs w:val="24"/>
              </w:rPr>
              <w:t>1</w:t>
            </w:r>
          </w:p>
        </w:tc>
      </w:tr>
    </w:tbl>
    <w:p w14:paraId="5B358B99">
      <w:pPr>
        <w:numPr>
          <w:ilvl w:val="0"/>
          <w:numId w:val="0"/>
        </w:numPr>
        <w:ind w:leftChars="0"/>
        <w:rPr>
          <w:rFonts w:hint="eastAsia" w:ascii="宋体" w:hAnsi="宋体" w:eastAsia="宋体" w:cs="宋体"/>
          <w:sz w:val="24"/>
          <w:szCs w:val="24"/>
          <w:lang w:val="en-US" w:eastAsia="zh-CN"/>
        </w:rPr>
      </w:pPr>
    </w:p>
    <w:p w14:paraId="043B6BCB">
      <w:pPr>
        <w:numPr>
          <w:ilvl w:val="0"/>
          <w:numId w:val="0"/>
        </w:numPr>
        <w:ind w:leftChars="0"/>
        <w:rPr>
          <w:rFonts w:hint="eastAsia" w:ascii="宋体" w:hAnsi="宋体" w:eastAsia="宋体" w:cs="宋体"/>
          <w:sz w:val="24"/>
          <w:szCs w:val="24"/>
          <w:lang w:val="en-US" w:eastAsia="zh-CN"/>
        </w:rPr>
      </w:pPr>
    </w:p>
    <w:p w14:paraId="6B323696">
      <w:pPr>
        <w:rPr>
          <w:rFonts w:hint="eastAsia" w:ascii="宋体" w:hAnsi="宋体" w:eastAsia="宋体" w:cs="宋体"/>
          <w:sz w:val="24"/>
          <w:szCs w:val="24"/>
          <w:lang w:val="en-US" w:eastAsia="zh-CN"/>
        </w:rPr>
      </w:pPr>
      <w:r>
        <w:rPr>
          <w:rFonts w:hint="eastAsia"/>
          <w:lang w:val="en-US" w:eastAsia="zh-CN"/>
        </w:rPr>
        <w:t>三、</w:t>
      </w:r>
      <w:r>
        <w:rPr>
          <w:rFonts w:hint="eastAsia" w:ascii="宋体" w:hAnsi="宋体" w:eastAsia="宋体" w:cs="宋体"/>
          <w:sz w:val="24"/>
          <w:szCs w:val="24"/>
          <w:lang w:val="en-US" w:eastAsia="zh-CN"/>
        </w:rPr>
        <w:t>服务要求</w:t>
      </w:r>
    </w:p>
    <w:p w14:paraId="3F12B1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1.提供安装和调试服务，确保产品正确安装并能正常使用。</w:t>
      </w:r>
    </w:p>
    <w:p w14:paraId="4B3513B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2.提供操作培训，使科室工作人员能够熟练掌握产品的使用方法。</w:t>
      </w:r>
    </w:p>
    <w:p w14:paraId="4E41BAA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3.提供≥3年的免费保修期，在此期间内非人为损坏由供应商负责免费维修或更换。</w:t>
      </w:r>
    </w:p>
    <w:p w14:paraId="487B3649">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4.开放接口，协助接入HIS/PACS/CIS等信息系统，接口及相关费用包含在本项目报价内。</w:t>
      </w:r>
    </w:p>
    <w:p w14:paraId="4DC44110">
      <w:pPr>
        <w:rPr>
          <w:rFonts w:hint="eastAsia" w:ascii="宋体" w:hAnsi="宋体" w:eastAsia="宋体" w:cs="宋体"/>
          <w:sz w:val="24"/>
          <w:szCs w:val="24"/>
          <w:lang w:val="en-US" w:eastAsia="zh-CN"/>
        </w:rPr>
      </w:pPr>
    </w:p>
    <w:p w14:paraId="4AA37A54">
      <w:pPr>
        <w:rPr>
          <w:rFonts w:hint="eastAsia" w:ascii="宋体" w:hAnsi="宋体" w:eastAsia="宋体" w:cs="宋体"/>
          <w:sz w:val="24"/>
          <w:szCs w:val="24"/>
          <w:lang w:val="en-US" w:eastAsia="zh-CN"/>
        </w:rPr>
      </w:pPr>
      <w:r>
        <w:rPr>
          <w:rFonts w:hint="eastAsia" w:ascii="宋体" w:hAnsi="宋体" w:cs="宋体"/>
          <w:sz w:val="24"/>
          <w:szCs w:val="24"/>
          <w:lang w:val="en-US" w:eastAsia="zh-CN"/>
        </w:rPr>
        <w:t>四、</w:t>
      </w:r>
      <w:r>
        <w:rPr>
          <w:rFonts w:hint="eastAsia" w:ascii="宋体" w:hAnsi="宋体" w:eastAsia="宋体" w:cs="宋体"/>
          <w:sz w:val="24"/>
          <w:szCs w:val="24"/>
          <w:lang w:val="en-US" w:eastAsia="zh-CN"/>
        </w:rPr>
        <w:t>商务要求</w:t>
      </w:r>
    </w:p>
    <w:p w14:paraId="0D5ED7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1.时间要求:中标供应商应在接到送货通知后7天内完成设备的交付，并在15天内完成安装调试。</w:t>
      </w:r>
    </w:p>
    <w:p w14:paraId="567E02C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2.地点要求:交货地点院方指定地点。</w:t>
      </w:r>
    </w:p>
    <w:p w14:paraId="1D74BD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3.财务要求:货到交货地点并经验收合格后，在货物验收合格和收到厂家开具的等额增值税普通发票等付款材料之日起30个工作日内向乙方支付100%货款。</w:t>
      </w:r>
    </w:p>
    <w:p w14:paraId="17AE2C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4.包装与运输:设备需采用防震包装，确保运输过程中的安全。运输费用由供应商承担，运输途中的一切风险由供应商负责。</w:t>
      </w:r>
    </w:p>
    <w:p w14:paraId="5025608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5.需遵守医院供应商管理规定（规定详见医院官网-采购公告置顶内容）</w:t>
      </w:r>
    </w:p>
    <w:p w14:paraId="69818B8F">
      <w:pPr>
        <w:bidi w:val="0"/>
        <w:rPr>
          <w:rFonts w:hint="default"/>
          <w:lang w:val="en-US" w:eastAsia="zh-CN"/>
        </w:rPr>
      </w:pPr>
    </w:p>
    <w:p w14:paraId="6508118F">
      <w:pPr>
        <w:numPr>
          <w:ilvl w:val="0"/>
          <w:numId w:val="0"/>
        </w:numPr>
        <w:ind w:leftChars="0"/>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C1C77"/>
    <w:multiLevelType w:val="multilevel"/>
    <w:tmpl w:val="2D2C1C7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7CA"/>
    <w:rsid w:val="00016C39"/>
    <w:rsid w:val="00017890"/>
    <w:rsid w:val="00024D65"/>
    <w:rsid w:val="00055114"/>
    <w:rsid w:val="000607A8"/>
    <w:rsid w:val="00064A84"/>
    <w:rsid w:val="000748A0"/>
    <w:rsid w:val="00081A1B"/>
    <w:rsid w:val="00086101"/>
    <w:rsid w:val="00095558"/>
    <w:rsid w:val="000B52CA"/>
    <w:rsid w:val="000C296F"/>
    <w:rsid w:val="000C3DB8"/>
    <w:rsid w:val="000C70AF"/>
    <w:rsid w:val="000D032C"/>
    <w:rsid w:val="000D28DD"/>
    <w:rsid w:val="000D40EE"/>
    <w:rsid w:val="001015AA"/>
    <w:rsid w:val="00102DE6"/>
    <w:rsid w:val="00116C01"/>
    <w:rsid w:val="00125C4F"/>
    <w:rsid w:val="001429EF"/>
    <w:rsid w:val="00157E91"/>
    <w:rsid w:val="001743C7"/>
    <w:rsid w:val="0018249B"/>
    <w:rsid w:val="001A28E5"/>
    <w:rsid w:val="001A2D4E"/>
    <w:rsid w:val="001A4EEC"/>
    <w:rsid w:val="001B0DFA"/>
    <w:rsid w:val="001D2392"/>
    <w:rsid w:val="001D3922"/>
    <w:rsid w:val="001D5F40"/>
    <w:rsid w:val="001E79D0"/>
    <w:rsid w:val="001F6CF7"/>
    <w:rsid w:val="001F7225"/>
    <w:rsid w:val="0020146C"/>
    <w:rsid w:val="0021330A"/>
    <w:rsid w:val="00214A2B"/>
    <w:rsid w:val="00224B8D"/>
    <w:rsid w:val="002308B3"/>
    <w:rsid w:val="00233E8F"/>
    <w:rsid w:val="0024422D"/>
    <w:rsid w:val="002443EF"/>
    <w:rsid w:val="002526BD"/>
    <w:rsid w:val="002579EB"/>
    <w:rsid w:val="002644B8"/>
    <w:rsid w:val="00284053"/>
    <w:rsid w:val="0028585B"/>
    <w:rsid w:val="00287D6D"/>
    <w:rsid w:val="002A21F3"/>
    <w:rsid w:val="002C1B58"/>
    <w:rsid w:val="002C4936"/>
    <w:rsid w:val="002C49C0"/>
    <w:rsid w:val="002E6F8E"/>
    <w:rsid w:val="002F5F92"/>
    <w:rsid w:val="002F682B"/>
    <w:rsid w:val="003117DB"/>
    <w:rsid w:val="00320741"/>
    <w:rsid w:val="003212C5"/>
    <w:rsid w:val="0033546F"/>
    <w:rsid w:val="00336F3D"/>
    <w:rsid w:val="0033750F"/>
    <w:rsid w:val="003450E1"/>
    <w:rsid w:val="00374688"/>
    <w:rsid w:val="00374BBB"/>
    <w:rsid w:val="003950DF"/>
    <w:rsid w:val="003A624C"/>
    <w:rsid w:val="003A71FF"/>
    <w:rsid w:val="003B0413"/>
    <w:rsid w:val="003B711B"/>
    <w:rsid w:val="003C00E8"/>
    <w:rsid w:val="003D67FC"/>
    <w:rsid w:val="003E13D6"/>
    <w:rsid w:val="003E14C4"/>
    <w:rsid w:val="003E5626"/>
    <w:rsid w:val="00420032"/>
    <w:rsid w:val="0042438E"/>
    <w:rsid w:val="004325B0"/>
    <w:rsid w:val="0043632E"/>
    <w:rsid w:val="0044436C"/>
    <w:rsid w:val="004629C9"/>
    <w:rsid w:val="00464DF3"/>
    <w:rsid w:val="00466442"/>
    <w:rsid w:val="0047173F"/>
    <w:rsid w:val="00483CC7"/>
    <w:rsid w:val="004C7749"/>
    <w:rsid w:val="004D1740"/>
    <w:rsid w:val="004D474A"/>
    <w:rsid w:val="004E4428"/>
    <w:rsid w:val="004F3170"/>
    <w:rsid w:val="004F7F47"/>
    <w:rsid w:val="00500429"/>
    <w:rsid w:val="0050332B"/>
    <w:rsid w:val="00503A53"/>
    <w:rsid w:val="005157A8"/>
    <w:rsid w:val="005467E0"/>
    <w:rsid w:val="00552F93"/>
    <w:rsid w:val="00567EA2"/>
    <w:rsid w:val="00575396"/>
    <w:rsid w:val="00585EA0"/>
    <w:rsid w:val="00595A14"/>
    <w:rsid w:val="005A44BF"/>
    <w:rsid w:val="005C226F"/>
    <w:rsid w:val="005C623B"/>
    <w:rsid w:val="005C7CD3"/>
    <w:rsid w:val="005D4965"/>
    <w:rsid w:val="005E247A"/>
    <w:rsid w:val="005E3297"/>
    <w:rsid w:val="005E67D8"/>
    <w:rsid w:val="005F7681"/>
    <w:rsid w:val="00611263"/>
    <w:rsid w:val="00613334"/>
    <w:rsid w:val="00620227"/>
    <w:rsid w:val="006315B1"/>
    <w:rsid w:val="00634629"/>
    <w:rsid w:val="00637B8A"/>
    <w:rsid w:val="00643E23"/>
    <w:rsid w:val="00656195"/>
    <w:rsid w:val="00660952"/>
    <w:rsid w:val="00663DAE"/>
    <w:rsid w:val="00693BD6"/>
    <w:rsid w:val="006966D9"/>
    <w:rsid w:val="006A17B1"/>
    <w:rsid w:val="006B318B"/>
    <w:rsid w:val="006B4162"/>
    <w:rsid w:val="006D0F31"/>
    <w:rsid w:val="006D1B32"/>
    <w:rsid w:val="006E17B8"/>
    <w:rsid w:val="006E531A"/>
    <w:rsid w:val="006E5EE5"/>
    <w:rsid w:val="006F00DE"/>
    <w:rsid w:val="00702D18"/>
    <w:rsid w:val="00726693"/>
    <w:rsid w:val="00732091"/>
    <w:rsid w:val="00734C5C"/>
    <w:rsid w:val="00742C5B"/>
    <w:rsid w:val="00767BCE"/>
    <w:rsid w:val="00772080"/>
    <w:rsid w:val="00793D1E"/>
    <w:rsid w:val="007B5B0F"/>
    <w:rsid w:val="007B7D29"/>
    <w:rsid w:val="007D25B8"/>
    <w:rsid w:val="007D2E0C"/>
    <w:rsid w:val="007E60F3"/>
    <w:rsid w:val="00806BFE"/>
    <w:rsid w:val="00817BBD"/>
    <w:rsid w:val="0082374B"/>
    <w:rsid w:val="00846B12"/>
    <w:rsid w:val="00860307"/>
    <w:rsid w:val="00864E82"/>
    <w:rsid w:val="00875164"/>
    <w:rsid w:val="008753FB"/>
    <w:rsid w:val="00881A0C"/>
    <w:rsid w:val="008828F1"/>
    <w:rsid w:val="00886CE4"/>
    <w:rsid w:val="00892139"/>
    <w:rsid w:val="008A0384"/>
    <w:rsid w:val="008A7196"/>
    <w:rsid w:val="008B26F1"/>
    <w:rsid w:val="008C44CC"/>
    <w:rsid w:val="008D14E2"/>
    <w:rsid w:val="008D623D"/>
    <w:rsid w:val="008E24D6"/>
    <w:rsid w:val="008F1565"/>
    <w:rsid w:val="0093325C"/>
    <w:rsid w:val="009364F2"/>
    <w:rsid w:val="00951243"/>
    <w:rsid w:val="00957617"/>
    <w:rsid w:val="00977633"/>
    <w:rsid w:val="009B582A"/>
    <w:rsid w:val="009C662F"/>
    <w:rsid w:val="009D5AC8"/>
    <w:rsid w:val="009E03E2"/>
    <w:rsid w:val="009E72D6"/>
    <w:rsid w:val="00A05F44"/>
    <w:rsid w:val="00A10511"/>
    <w:rsid w:val="00A13CD6"/>
    <w:rsid w:val="00A15B04"/>
    <w:rsid w:val="00A225C2"/>
    <w:rsid w:val="00A269D0"/>
    <w:rsid w:val="00A500A0"/>
    <w:rsid w:val="00A50971"/>
    <w:rsid w:val="00A56989"/>
    <w:rsid w:val="00A6658C"/>
    <w:rsid w:val="00A6697B"/>
    <w:rsid w:val="00A711CF"/>
    <w:rsid w:val="00A76BE3"/>
    <w:rsid w:val="00A8066A"/>
    <w:rsid w:val="00A81F82"/>
    <w:rsid w:val="00A92E62"/>
    <w:rsid w:val="00A92F00"/>
    <w:rsid w:val="00AA7633"/>
    <w:rsid w:val="00AA78B8"/>
    <w:rsid w:val="00AA7DBE"/>
    <w:rsid w:val="00AB75BD"/>
    <w:rsid w:val="00AC07D0"/>
    <w:rsid w:val="00AD0ACC"/>
    <w:rsid w:val="00AE037A"/>
    <w:rsid w:val="00AF4A3A"/>
    <w:rsid w:val="00AF508A"/>
    <w:rsid w:val="00B01B76"/>
    <w:rsid w:val="00B02D7F"/>
    <w:rsid w:val="00B16FA2"/>
    <w:rsid w:val="00B17558"/>
    <w:rsid w:val="00B35555"/>
    <w:rsid w:val="00B36880"/>
    <w:rsid w:val="00B43C07"/>
    <w:rsid w:val="00B6732D"/>
    <w:rsid w:val="00B77CD3"/>
    <w:rsid w:val="00B843DA"/>
    <w:rsid w:val="00B8747D"/>
    <w:rsid w:val="00B9017A"/>
    <w:rsid w:val="00B927C7"/>
    <w:rsid w:val="00B946C0"/>
    <w:rsid w:val="00BB229A"/>
    <w:rsid w:val="00BB3013"/>
    <w:rsid w:val="00BC3214"/>
    <w:rsid w:val="00BF3FF5"/>
    <w:rsid w:val="00C02016"/>
    <w:rsid w:val="00C02554"/>
    <w:rsid w:val="00C04E54"/>
    <w:rsid w:val="00C1658E"/>
    <w:rsid w:val="00C3006D"/>
    <w:rsid w:val="00C6547E"/>
    <w:rsid w:val="00C718DD"/>
    <w:rsid w:val="00C75E23"/>
    <w:rsid w:val="00C80E31"/>
    <w:rsid w:val="00C81B44"/>
    <w:rsid w:val="00C91A3B"/>
    <w:rsid w:val="00CA418C"/>
    <w:rsid w:val="00CC0206"/>
    <w:rsid w:val="00CC2BF0"/>
    <w:rsid w:val="00CD25D1"/>
    <w:rsid w:val="00CD62BC"/>
    <w:rsid w:val="00CD65E4"/>
    <w:rsid w:val="00CE2D25"/>
    <w:rsid w:val="00CF6274"/>
    <w:rsid w:val="00D012BE"/>
    <w:rsid w:val="00D037C3"/>
    <w:rsid w:val="00D058EA"/>
    <w:rsid w:val="00D17352"/>
    <w:rsid w:val="00D3557D"/>
    <w:rsid w:val="00D53695"/>
    <w:rsid w:val="00D55912"/>
    <w:rsid w:val="00D73219"/>
    <w:rsid w:val="00D75889"/>
    <w:rsid w:val="00D77958"/>
    <w:rsid w:val="00D840A4"/>
    <w:rsid w:val="00D9042C"/>
    <w:rsid w:val="00DA1701"/>
    <w:rsid w:val="00DA2719"/>
    <w:rsid w:val="00DC2006"/>
    <w:rsid w:val="00DC260C"/>
    <w:rsid w:val="00DC3BFE"/>
    <w:rsid w:val="00DC4137"/>
    <w:rsid w:val="00DD0DC2"/>
    <w:rsid w:val="00DD127C"/>
    <w:rsid w:val="00DE2E09"/>
    <w:rsid w:val="00DF42B9"/>
    <w:rsid w:val="00E029E4"/>
    <w:rsid w:val="00E02FD1"/>
    <w:rsid w:val="00E127E1"/>
    <w:rsid w:val="00E1540B"/>
    <w:rsid w:val="00E15980"/>
    <w:rsid w:val="00E21C85"/>
    <w:rsid w:val="00E37FB4"/>
    <w:rsid w:val="00E465F6"/>
    <w:rsid w:val="00E46D67"/>
    <w:rsid w:val="00E4723C"/>
    <w:rsid w:val="00E53F52"/>
    <w:rsid w:val="00E60DD2"/>
    <w:rsid w:val="00E65DF4"/>
    <w:rsid w:val="00E67999"/>
    <w:rsid w:val="00E7573C"/>
    <w:rsid w:val="00E77DA0"/>
    <w:rsid w:val="00E81433"/>
    <w:rsid w:val="00E900FC"/>
    <w:rsid w:val="00E90235"/>
    <w:rsid w:val="00EB6D08"/>
    <w:rsid w:val="00EC0086"/>
    <w:rsid w:val="00EC67C0"/>
    <w:rsid w:val="00ED7639"/>
    <w:rsid w:val="00EF2034"/>
    <w:rsid w:val="00EF4C1B"/>
    <w:rsid w:val="00F00FC0"/>
    <w:rsid w:val="00F522D1"/>
    <w:rsid w:val="00F73E1A"/>
    <w:rsid w:val="00F90681"/>
    <w:rsid w:val="00FA0FD3"/>
    <w:rsid w:val="00FA122C"/>
    <w:rsid w:val="00FA3AF2"/>
    <w:rsid w:val="00FB11B6"/>
    <w:rsid w:val="00FB22C6"/>
    <w:rsid w:val="00FC4802"/>
    <w:rsid w:val="00FD4EEE"/>
    <w:rsid w:val="00FE6424"/>
    <w:rsid w:val="00FE6E55"/>
    <w:rsid w:val="00FF1202"/>
    <w:rsid w:val="00FF5F36"/>
    <w:rsid w:val="17FE4D92"/>
    <w:rsid w:val="1D5C6BD4"/>
    <w:rsid w:val="43123BE1"/>
    <w:rsid w:val="45D40490"/>
    <w:rsid w:val="51BB7F76"/>
    <w:rsid w:val="52734109"/>
    <w:rsid w:val="5668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2370</Words>
  <Characters>2523</Characters>
  <Lines>14</Lines>
  <Paragraphs>4</Paragraphs>
  <TotalTime>7</TotalTime>
  <ScaleCrop>false</ScaleCrop>
  <LinksUpToDate>false</LinksUpToDate>
  <CharactersWithSpaces>2525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2025-02-13T04:18:00Z</dcterms:created>
  <dc:creator>Gao Lei</dc:creator>
  <cp:lastModifiedBy>Zhou</cp:lastModifiedBy>
  <cp:lastPrinted>2025-12-26T03:39:00Z</cp:lastPrinted>
  <dcterms:modified xsi:type="dcterms:W3CDTF">2025-12-26T06:56:57Z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eyJoZGlkIjoiZTFiM2EyNGE3MjNjMjNhZDJjODg2M2NlYzc0MDIxZmUiLCJ1c2VySWQiOiIxNjU3NTQxMjg3In0=</vt:lpwstr>
  </property>
  <property fmtid="{D5CDD505-2E9C-101B-9397-08002B2CF9AE}" pid="3" name="KSOProductBuildVer">
    <vt:lpwstr>2052-12.1.0.23542</vt:lpwstr>
  </property>
  <property fmtid="{D5CDD505-2E9C-101B-9397-08002B2CF9AE}" pid="4" name="ICV">
    <vt:lpwstr>62262DB145734A30A9E186D45CF35DC2_13</vt:lpwstr>
  </property>
</Properties>
</file>