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A2820">
      <w:pPr>
        <w:spacing w:line="314" w:lineRule="auto"/>
        <w:rPr>
          <w:rFonts w:ascii="Arial"/>
          <w:sz w:val="21"/>
        </w:rPr>
      </w:pPr>
    </w:p>
    <w:p w14:paraId="4600F738">
      <w:pPr>
        <w:pStyle w:val="2"/>
        <w:spacing w:before="68" w:line="212" w:lineRule="auto"/>
        <w:ind w:left="1229"/>
      </w:pPr>
      <w:r>
        <w:rPr>
          <w:spacing w:val="3"/>
        </w:rPr>
        <w:t>超速离心机</w:t>
      </w:r>
      <w:r>
        <w:rPr>
          <w:spacing w:val="-46"/>
        </w:rPr>
        <w:t xml:space="preserve"> </w:t>
      </w:r>
      <w:r>
        <w:rPr>
          <w:rFonts w:ascii="Times New Roman" w:hAnsi="Times New Roman" w:eastAsia="Times New Roman" w:cs="Times New Roman"/>
        </w:rPr>
        <w:t>Beckman</w:t>
      </w:r>
      <w:r>
        <w:rPr>
          <w:rFonts w:ascii="Times New Roman" w:hAnsi="Times New Roman" w:eastAsia="Times New Roman" w:cs="Times New Roman"/>
          <w:spacing w:val="14"/>
        </w:rPr>
        <w:t xml:space="preserve">  </w:t>
      </w:r>
      <w:r>
        <w:rPr>
          <w:rFonts w:ascii="Times New Roman" w:hAnsi="Times New Roman" w:eastAsia="Times New Roman" w:cs="Times New Roman"/>
        </w:rPr>
        <w:t>Coulter</w:t>
      </w:r>
      <w:r>
        <w:rPr>
          <w:rFonts w:ascii="Times New Roman" w:hAnsi="Times New Roman" w:eastAsia="Times New Roman" w:cs="Times New Roman"/>
          <w:spacing w:val="3"/>
        </w:rPr>
        <w:t xml:space="preserve">  </w:t>
      </w:r>
      <w:r>
        <w:rPr>
          <w:rFonts w:ascii="Times New Roman" w:hAnsi="Times New Roman" w:eastAsia="Times New Roman" w:cs="Times New Roman"/>
        </w:rPr>
        <w:t>Optima</w:t>
      </w:r>
      <w:r>
        <w:rPr>
          <w:rFonts w:ascii="Times New Roman" w:hAnsi="Times New Roman" w:eastAsia="Times New Roman" w:cs="Times New Roman"/>
          <w:spacing w:val="3"/>
        </w:rPr>
        <w:t xml:space="preserve">  </w:t>
      </w:r>
      <w:r>
        <w:rPr>
          <w:rFonts w:ascii="Times New Roman" w:hAnsi="Times New Roman" w:eastAsia="Times New Roman" w:cs="Times New Roman"/>
        </w:rPr>
        <w:t>XE</w:t>
      </w:r>
      <w:r>
        <w:rPr>
          <w:rFonts w:ascii="Times New Roman" w:hAnsi="Times New Roman" w:eastAsia="Times New Roman" w:cs="Times New Roman"/>
          <w:spacing w:val="3"/>
        </w:rPr>
        <w:t>-100</w:t>
      </w:r>
      <w:r>
        <w:rPr>
          <w:rFonts w:ascii="Times New Roman" w:hAnsi="Times New Roman" w:eastAsia="Times New Roman" w:cs="Times New Roman"/>
          <w:spacing w:val="13"/>
        </w:rPr>
        <w:t xml:space="preserve"> </w:t>
      </w:r>
      <w:r>
        <w:rPr>
          <w:b/>
          <w:bCs/>
          <w:spacing w:val="3"/>
        </w:rPr>
        <w:t>维保服务要求</w:t>
      </w:r>
    </w:p>
    <w:p w14:paraId="26EB7D19">
      <w:pPr>
        <w:pStyle w:val="2"/>
        <w:spacing w:before="269" w:line="219" w:lineRule="auto"/>
        <w:ind w:left="3"/>
        <w:outlineLvl w:val="4"/>
      </w:pPr>
      <w:r>
        <w:rPr>
          <w:b/>
          <w:bCs/>
          <w:spacing w:val="1"/>
        </w:rPr>
        <w:t>一、总体概述及要求</w:t>
      </w:r>
    </w:p>
    <w:p w14:paraId="6730D3E9">
      <w:pPr>
        <w:pStyle w:val="2"/>
        <w:spacing w:before="243" w:line="319" w:lineRule="auto"/>
        <w:ind w:right="91" w:firstLine="439"/>
      </w:pPr>
      <w:r>
        <w:rPr>
          <w:rFonts w:ascii="Times New Roman" w:hAnsi="Times New Roman" w:eastAsia="Times New Roman" w:cs="Times New Roman"/>
          <w:spacing w:val="3"/>
        </w:rPr>
        <w:t>1</w:t>
      </w:r>
      <w:r>
        <w:rPr>
          <w:rFonts w:ascii="Times New Roman" w:hAnsi="Times New Roman" w:eastAsia="Times New Roman" w:cs="Times New Roman"/>
          <w:spacing w:val="-25"/>
        </w:rPr>
        <w:t xml:space="preserve"> </w:t>
      </w:r>
      <w:r>
        <w:rPr>
          <w:spacing w:val="3"/>
        </w:rPr>
        <w:t>、本服务项目是指医院</w:t>
      </w:r>
      <w:r>
        <w:rPr>
          <w:spacing w:val="-57"/>
        </w:rPr>
        <w:t xml:space="preserve"> </w:t>
      </w:r>
      <w:r>
        <w:rPr>
          <w:rFonts w:ascii="Times New Roman" w:hAnsi="Times New Roman" w:eastAsia="Times New Roman" w:cs="Times New Roman"/>
        </w:rPr>
        <w:t>Beckman</w:t>
      </w:r>
      <w:r>
        <w:rPr>
          <w:rFonts w:ascii="Times New Roman" w:hAnsi="Times New Roman" w:eastAsia="Times New Roman" w:cs="Times New Roman"/>
          <w:spacing w:val="17"/>
        </w:rPr>
        <w:t xml:space="preserve">   </w:t>
      </w:r>
      <w:r>
        <w:rPr>
          <w:rFonts w:ascii="Times New Roman" w:hAnsi="Times New Roman" w:eastAsia="Times New Roman" w:cs="Times New Roman"/>
        </w:rPr>
        <w:t>Coulter</w:t>
      </w:r>
      <w:r>
        <w:rPr>
          <w:spacing w:val="3"/>
        </w:rPr>
        <w:t>品牌的超速离心机三年保修服务，维保的项</w:t>
      </w:r>
      <w:r>
        <w:t xml:space="preserve"> </w:t>
      </w:r>
      <w:r>
        <w:rPr>
          <w:spacing w:val="1"/>
        </w:rPr>
        <w:t>目为全保服务，包含免除所有服务费和硬件更换等服务。服务期以合同约定为准。</w:t>
      </w:r>
    </w:p>
    <w:p w14:paraId="69D2F4FD">
      <w:pPr>
        <w:pStyle w:val="2"/>
        <w:spacing w:before="259" w:line="219" w:lineRule="auto"/>
        <w:ind w:left="3"/>
        <w:outlineLvl w:val="4"/>
      </w:pPr>
      <w:r>
        <w:rPr>
          <w:b/>
          <w:bCs/>
          <w:spacing w:val="2"/>
        </w:rPr>
        <w:t>二、维护服务对象基本情况</w:t>
      </w:r>
    </w:p>
    <w:p w14:paraId="53C50BE8">
      <w:pPr>
        <w:pStyle w:val="2"/>
        <w:spacing w:before="249" w:line="214" w:lineRule="auto"/>
      </w:pPr>
      <w:r>
        <w:rPr>
          <w:spacing w:val="2"/>
        </w:rPr>
        <w:t>1、服务项目设备：超速离心机</w:t>
      </w:r>
      <w:r>
        <w:t>Beckman</w:t>
      </w:r>
      <w:r>
        <w:rPr>
          <w:spacing w:val="47"/>
        </w:rPr>
        <w:t xml:space="preserve"> </w:t>
      </w:r>
      <w:r>
        <w:t>Coulter</w:t>
      </w:r>
      <w:r>
        <w:rPr>
          <w:spacing w:val="34"/>
        </w:rPr>
        <w:t xml:space="preserve"> </w:t>
      </w:r>
      <w:r>
        <w:t>Optima</w:t>
      </w:r>
      <w:r>
        <w:rPr>
          <w:spacing w:val="32"/>
        </w:rPr>
        <w:t xml:space="preserve"> </w:t>
      </w:r>
      <w:r>
        <w:t>XE</w:t>
      </w:r>
      <w:r>
        <w:rPr>
          <w:spacing w:val="2"/>
        </w:rPr>
        <w:t>-100</w:t>
      </w:r>
    </w:p>
    <w:p w14:paraId="25DDFD85">
      <w:pPr>
        <w:pStyle w:val="2"/>
        <w:spacing w:before="242" w:line="219" w:lineRule="auto"/>
      </w:pPr>
      <w:r>
        <w:rPr>
          <w:spacing w:val="2"/>
        </w:rPr>
        <w:t>2、设备使用情况：正常使用。</w:t>
      </w:r>
    </w:p>
    <w:p w14:paraId="484CBD71">
      <w:pPr>
        <w:pStyle w:val="2"/>
        <w:spacing w:before="261" w:line="219" w:lineRule="auto"/>
        <w:jc w:val="right"/>
      </w:pPr>
      <w:r>
        <w:t>3、服务意义：为应对该设备的损坏风险，及时修复故障，提高使用率，购买三年保修服务。</w:t>
      </w:r>
    </w:p>
    <w:p w14:paraId="4E048603">
      <w:pPr>
        <w:pStyle w:val="2"/>
        <w:spacing w:before="248" w:line="219" w:lineRule="auto"/>
        <w:ind w:left="3"/>
        <w:outlineLvl w:val="4"/>
      </w:pPr>
      <w:r>
        <w:rPr>
          <w:b/>
          <w:bCs/>
          <w:spacing w:val="2"/>
        </w:rPr>
        <w:t>三、服务人员与服务时间</w:t>
      </w:r>
    </w:p>
    <w:p w14:paraId="2EAAB9E2">
      <w:pPr>
        <w:pStyle w:val="2"/>
        <w:spacing w:before="252" w:line="219" w:lineRule="auto"/>
      </w:pPr>
      <w:r>
        <w:rPr>
          <w:spacing w:val="2"/>
        </w:rPr>
        <w:t>1、要求投标人在项目所在地有固定人员提供服务(提供服务人员清单及证书)。</w:t>
      </w:r>
    </w:p>
    <w:p w14:paraId="5823E43F">
      <w:pPr>
        <w:pStyle w:val="2"/>
        <w:spacing w:before="253" w:line="309" w:lineRule="auto"/>
        <w:ind w:right="114"/>
      </w:pPr>
      <w:r>
        <w:rPr>
          <w:spacing w:val="6"/>
        </w:rPr>
        <w:t>▲2、要求投标人至少指定1名工程师负责</w:t>
      </w:r>
      <w:r>
        <w:rPr>
          <w:spacing w:val="5"/>
        </w:rPr>
        <w:t>本项目，并持有厂家或相关能力培训合格的服务</w:t>
      </w:r>
      <w:r>
        <w:t xml:space="preserve"> </w:t>
      </w:r>
      <w:r>
        <w:rPr>
          <w:spacing w:val="8"/>
        </w:rPr>
        <w:t>证明。(投标文件中提供工程师名单、联系方式及培训合格的证明文件)。</w:t>
      </w:r>
    </w:p>
    <w:p w14:paraId="5062AF47">
      <w:pPr>
        <w:pStyle w:val="2"/>
        <w:spacing w:before="144" w:line="261" w:lineRule="auto"/>
        <w:ind w:right="77"/>
      </w:pPr>
      <w:r>
        <w:rPr>
          <w:spacing w:val="13"/>
        </w:rPr>
        <w:t>3、电话响应：每天24小时，全年365天；现场服务时间：每天</w:t>
      </w:r>
      <w:r>
        <w:rPr>
          <w:spacing w:val="12"/>
        </w:rPr>
        <w:t>上午8:00到下午5:30,法</w:t>
      </w:r>
      <w:r>
        <w:t xml:space="preserve"> </w:t>
      </w:r>
      <w:r>
        <w:rPr>
          <w:spacing w:val="-3"/>
        </w:rPr>
        <w:t>定工作日。</w:t>
      </w:r>
    </w:p>
    <w:p w14:paraId="68E934BB">
      <w:pPr>
        <w:pStyle w:val="2"/>
        <w:spacing w:before="259" w:line="219" w:lineRule="auto"/>
      </w:pPr>
      <w:r>
        <w:rPr>
          <w:spacing w:val="2"/>
        </w:rPr>
        <w:t>4、如遇服务时间外的紧急加班服务，不另收取费用。</w:t>
      </w:r>
    </w:p>
    <w:p w14:paraId="5842D98B">
      <w:pPr>
        <w:pStyle w:val="2"/>
        <w:spacing w:before="258" w:line="219" w:lineRule="auto"/>
        <w:ind w:left="3"/>
        <w:outlineLvl w:val="4"/>
      </w:pPr>
      <w:r>
        <w:rPr>
          <w:b/>
          <w:bCs/>
          <w:spacing w:val="-9"/>
        </w:rPr>
        <w:t>四</w:t>
      </w:r>
      <w:r>
        <w:rPr>
          <w:spacing w:val="-43"/>
        </w:rPr>
        <w:t xml:space="preserve"> </w:t>
      </w:r>
      <w:r>
        <w:rPr>
          <w:b/>
          <w:bCs/>
          <w:spacing w:val="-9"/>
        </w:rPr>
        <w:t>、维护服务内容包括：</w:t>
      </w:r>
    </w:p>
    <w:p w14:paraId="179A4EBD">
      <w:pPr>
        <w:pStyle w:val="2"/>
        <w:spacing w:before="252" w:line="219" w:lineRule="auto"/>
      </w:pPr>
      <w:r>
        <w:t>本服务项目投标人应提供包括但不限于以下服务：</w:t>
      </w:r>
    </w:p>
    <w:p w14:paraId="225A6AD0">
      <w:pPr>
        <w:pStyle w:val="2"/>
        <w:spacing w:before="242" w:line="301" w:lineRule="auto"/>
        <w:ind w:right="116"/>
      </w:pPr>
      <w:r>
        <w:rPr>
          <w:spacing w:val="3"/>
        </w:rPr>
        <w:t>▲1、维保期内，设备进行维修，保养和更换配件，承担配件、劳务和差</w:t>
      </w:r>
      <w:r>
        <w:rPr>
          <w:spacing w:val="2"/>
        </w:rPr>
        <w:t>旅等费用，不再收</w:t>
      </w:r>
      <w:r>
        <w:t xml:space="preserve"> </w:t>
      </w:r>
      <w:r>
        <w:rPr>
          <w:spacing w:val="10"/>
        </w:rPr>
        <w:t>取除合同款外的其他费用(不包括人为损坏及转子维修)。</w:t>
      </w:r>
    </w:p>
    <w:p w14:paraId="3E1C726E">
      <w:pPr>
        <w:pStyle w:val="2"/>
        <w:spacing w:before="155" w:line="272" w:lineRule="auto"/>
        <w:ind w:right="94"/>
      </w:pPr>
      <w:r>
        <w:rPr>
          <w:spacing w:val="3"/>
        </w:rPr>
        <w:t>2、服务设备常规一年一次保养及预防性维护，包括设备的安全检查、除尘保养及运行状态</w:t>
      </w:r>
      <w:r>
        <w:rPr>
          <w:spacing w:val="14"/>
        </w:rPr>
        <w:t xml:space="preserve"> </w:t>
      </w:r>
      <w:r>
        <w:rPr>
          <w:spacing w:val="1"/>
        </w:rPr>
        <w:t>检查、定期更换设备易损部件等；以上服务中标人应按采购人要求</w:t>
      </w:r>
      <w:r>
        <w:t xml:space="preserve">提交保养报告。如甲方有 </w:t>
      </w:r>
      <w:r>
        <w:rPr>
          <w:spacing w:val="2"/>
        </w:rPr>
        <w:t>需要，中标人可提供免费培训服务。</w:t>
      </w:r>
    </w:p>
    <w:p w14:paraId="51716B21">
      <w:pPr>
        <w:pStyle w:val="2"/>
        <w:spacing w:before="252" w:line="263" w:lineRule="auto"/>
        <w:ind w:right="88"/>
      </w:pPr>
      <w:r>
        <w:rPr>
          <w:spacing w:val="4"/>
        </w:rPr>
        <w:t>3、中标人应在项目所在地建有常用备件库，</w:t>
      </w:r>
      <w:r>
        <w:rPr>
          <w:spacing w:val="3"/>
        </w:rPr>
        <w:t>为所保设备保证备件的存储并优先提供备件的</w:t>
      </w:r>
      <w:r>
        <w:t xml:space="preserve"> </w:t>
      </w:r>
      <w:r>
        <w:rPr>
          <w:spacing w:val="9"/>
        </w:rPr>
        <w:t>发货及维修更换(提供备件库的租赁合同或产权证明及备件清单)。</w:t>
      </w:r>
    </w:p>
    <w:p w14:paraId="4BF525DA">
      <w:pPr>
        <w:pStyle w:val="2"/>
        <w:spacing w:before="252" w:line="254" w:lineRule="auto"/>
        <w:ind w:right="95"/>
      </w:pPr>
      <w:r>
        <w:rPr>
          <w:spacing w:val="3"/>
        </w:rPr>
        <w:t>4、当所保设备出现故障时，中标人收到招标人的报修通知后应及时派工程师进行指导或赴</w:t>
      </w:r>
      <w:r>
        <w:rPr>
          <w:spacing w:val="13"/>
        </w:rPr>
        <w:t xml:space="preserve"> </w:t>
      </w:r>
      <w:r>
        <w:rPr>
          <w:spacing w:val="3"/>
        </w:rPr>
        <w:t>现场维修，如无法及时维修，中标人应及时通知甲方，可</w:t>
      </w:r>
      <w:r>
        <w:rPr>
          <w:spacing w:val="2"/>
        </w:rPr>
        <w:t>提供备用机保证业务正常开展。</w:t>
      </w:r>
    </w:p>
    <w:p w14:paraId="43C0F53F">
      <w:pPr>
        <w:pStyle w:val="2"/>
        <w:spacing w:before="272" w:line="255" w:lineRule="auto"/>
      </w:pPr>
      <w:r>
        <w:t>6、每年度服务结束后应提交年度服务报告，包括维修情况、服务总结、设备运行情况分析、</w:t>
      </w:r>
      <w:r>
        <w:rPr>
          <w:spacing w:val="18"/>
        </w:rPr>
        <w:t xml:space="preserve"> </w:t>
      </w:r>
      <w:r>
        <w:t>设备存在问题及建议及后续整改措施等。</w:t>
      </w:r>
    </w:p>
    <w:p w14:paraId="0EC23DB0">
      <w:pPr>
        <w:pStyle w:val="2"/>
        <w:spacing w:before="250" w:line="219" w:lineRule="auto"/>
      </w:pPr>
      <w:r>
        <w:rPr>
          <w:spacing w:val="2"/>
        </w:rPr>
        <w:t>7、维保信息记录完整，要求每次维保服务有工单，每台设备有状态标识及现场维保记录，</w:t>
      </w:r>
    </w:p>
    <w:p w14:paraId="6D4F0268">
      <w:pPr>
        <w:spacing w:line="219" w:lineRule="auto"/>
        <w:sectPr>
          <w:pgSz w:w="11900" w:h="16830"/>
          <w:pgMar w:top="1430" w:right="1665" w:bottom="0" w:left="1710" w:header="0" w:footer="0" w:gutter="0"/>
          <w:cols w:space="720" w:num="1"/>
        </w:sectPr>
      </w:pPr>
    </w:p>
    <w:p w14:paraId="4D854691">
      <w:pPr>
        <w:pStyle w:val="2"/>
        <w:spacing w:before="66" w:line="219" w:lineRule="auto"/>
      </w:pPr>
      <w:r>
        <w:rPr>
          <w:spacing w:val="5"/>
        </w:rPr>
        <w:t>每次服务可溯源。(提供投标人自有设计的服务工单、状态标识相关模板)</w:t>
      </w:r>
    </w:p>
    <w:p w14:paraId="2E9F430D">
      <w:pPr>
        <w:pStyle w:val="2"/>
        <w:spacing w:before="240" w:line="219" w:lineRule="auto"/>
      </w:pPr>
      <w:r>
        <w:t>8、维保期内，设备日常维护、保养所需真空脂和密封圈等常规耗材，由中标人免费提供。</w:t>
      </w:r>
    </w:p>
    <w:p w14:paraId="727E35E7">
      <w:pPr>
        <w:pStyle w:val="2"/>
        <w:spacing w:before="259" w:line="220" w:lineRule="auto"/>
        <w:ind w:left="3"/>
        <w:outlineLvl w:val="4"/>
      </w:pPr>
      <w:r>
        <w:rPr>
          <w:b/>
          <w:bCs/>
          <w:spacing w:val="-1"/>
        </w:rPr>
        <w:t>五、标准响应时间</w:t>
      </w:r>
    </w:p>
    <w:p w14:paraId="1E071A76">
      <w:pPr>
        <w:pStyle w:val="2"/>
        <w:spacing w:before="232" w:line="219" w:lineRule="auto"/>
      </w:pPr>
      <w:r>
        <w:rPr>
          <w:spacing w:val="4"/>
        </w:rPr>
        <w:t>▲1、响应时间为30分钟内电话处理。</w:t>
      </w:r>
    </w:p>
    <w:p w14:paraId="54262BC2">
      <w:pPr>
        <w:pStyle w:val="2"/>
        <w:spacing w:before="211" w:line="256" w:lineRule="auto"/>
        <w:ind w:right="115"/>
      </w:pPr>
      <w:r>
        <w:rPr>
          <w:spacing w:val="1"/>
        </w:rPr>
        <w:t>▲2、现场响应时间：48个小时内。如设备故障严重，无法在48小时内</w:t>
      </w:r>
      <w:r>
        <w:t xml:space="preserve">修复，中标人有义务 </w:t>
      </w:r>
      <w:r>
        <w:rPr>
          <w:spacing w:val="3"/>
        </w:rPr>
        <w:t>提供解决方案，并保证在3个自然日内使设备恢复正常运行。</w:t>
      </w:r>
    </w:p>
    <w:p w14:paraId="52A77819">
      <w:pPr>
        <w:pStyle w:val="2"/>
        <w:spacing w:before="155" w:line="219" w:lineRule="auto"/>
        <w:ind w:left="3"/>
        <w:outlineLvl w:val="4"/>
      </w:pPr>
      <w:r>
        <w:rPr>
          <w:b/>
          <w:bCs/>
        </w:rPr>
        <w:t>六、考核制度</w:t>
      </w:r>
    </w:p>
    <w:p w14:paraId="19E08D51">
      <w:pPr>
        <w:pStyle w:val="2"/>
        <w:spacing w:before="252" w:line="219" w:lineRule="auto"/>
      </w:pPr>
      <w:r>
        <w:t>1、属于“服务内容”范围内的工作，维修服务单均要使用科室人员签名确认。</w:t>
      </w:r>
    </w:p>
    <w:p w14:paraId="61170C92">
      <w:pPr>
        <w:pStyle w:val="2"/>
        <w:spacing w:before="251" w:line="290" w:lineRule="auto"/>
        <w:ind w:right="96"/>
        <w:jc w:val="both"/>
      </w:pPr>
      <w:r>
        <w:rPr>
          <w:spacing w:val="13"/>
        </w:rPr>
        <w:t xml:space="preserve">▲2.保证开机率：在服务时间内(每天24小时，全年365个自然日),对所保设备开机率 </w:t>
      </w:r>
      <w:r>
        <w:rPr>
          <w:spacing w:val="16"/>
        </w:rPr>
        <w:t>承诺保证达到82.2%,即正常开机达到300个自然日，停机不超过65个自然日。当开机</w:t>
      </w:r>
      <w:r>
        <w:rPr>
          <w:spacing w:val="10"/>
        </w:rPr>
        <w:t xml:space="preserve"> </w:t>
      </w:r>
      <w:r>
        <w:rPr>
          <w:spacing w:val="14"/>
        </w:rPr>
        <w:t>率低于82.2 %,每降低1%,维保期顺延6个自然日。</w:t>
      </w:r>
    </w:p>
    <w:p w14:paraId="411DE7E6">
      <w:pPr>
        <w:pStyle w:val="2"/>
        <w:spacing w:before="190" w:line="219" w:lineRule="auto"/>
      </w:pPr>
      <w:r>
        <w:rPr>
          <w:spacing w:val="1"/>
        </w:rPr>
        <w:t>七、技术咨询及培训服务：服务期内，投标人应提供</w:t>
      </w:r>
      <w:r>
        <w:t>设备使用咨询及必要的现场培训服务。</w:t>
      </w:r>
    </w:p>
    <w:p w14:paraId="23EB87D6">
      <w:pPr>
        <w:pStyle w:val="2"/>
        <w:spacing w:before="242" w:line="258" w:lineRule="auto"/>
        <w:ind w:right="19"/>
      </w:pPr>
      <w:r>
        <w:rPr>
          <w:spacing w:val="-2"/>
        </w:rPr>
        <w:t>八、指定联系人、联系方式：指定联系人、联系方式；投标人指定专人负责本项目的维护及</w:t>
      </w:r>
      <w:r>
        <w:rPr>
          <w:spacing w:val="4"/>
        </w:rPr>
        <w:t xml:space="preserve">  </w:t>
      </w:r>
      <w:r>
        <w:rPr>
          <w:spacing w:val="6"/>
        </w:rPr>
        <w:t>联系工作，如更换联系人，应提前告知。(投标文件中提供指定联系人名单及</w:t>
      </w:r>
      <w:r>
        <w:rPr>
          <w:spacing w:val="5"/>
        </w:rPr>
        <w:t>联系方式)。</w:t>
      </w:r>
    </w:p>
    <w:p w14:paraId="257E7370">
      <w:pPr>
        <w:pStyle w:val="2"/>
        <w:spacing w:before="254" w:line="254" w:lineRule="auto"/>
        <w:ind w:right="115"/>
      </w:pPr>
      <w:r>
        <w:rPr>
          <w:spacing w:val="-3"/>
        </w:rPr>
        <w:t>▲九</w:t>
      </w:r>
      <w:r>
        <w:rPr>
          <w:spacing w:val="-57"/>
        </w:rPr>
        <w:t xml:space="preserve"> </w:t>
      </w:r>
      <w:r>
        <w:rPr>
          <w:spacing w:val="-3"/>
        </w:rPr>
        <w:t>、投标人在投标文件中提供生产制造厂家关于维保售后服务的授权或技术合作协议，或</w:t>
      </w:r>
      <w:r>
        <w:t xml:space="preserve"> </w:t>
      </w:r>
      <w:r>
        <w:rPr>
          <w:spacing w:val="-1"/>
        </w:rPr>
        <w:t>提供核心配件的正规渠道采购记录。</w:t>
      </w:r>
    </w:p>
    <w:p w14:paraId="6687B043">
      <w:pPr>
        <w:pStyle w:val="2"/>
        <w:spacing w:before="252" w:line="219" w:lineRule="auto"/>
      </w:pPr>
      <w:r>
        <w:t>▲十、投标人在国内具备同品牌同类设备保</w:t>
      </w:r>
      <w:r>
        <w:rPr>
          <w:spacing w:val="-1"/>
        </w:rPr>
        <w:t>修项目经验。</w:t>
      </w:r>
    </w:p>
    <w:p w14:paraId="6ED3EBF9">
      <w:pPr>
        <w:pStyle w:val="2"/>
        <w:spacing w:before="248" w:line="219" w:lineRule="auto"/>
        <w:ind w:left="3"/>
      </w:pPr>
      <w:r>
        <w:rPr>
          <w:b/>
          <w:bCs/>
          <w:spacing w:val="-3"/>
        </w:rPr>
        <w:t>所需的服务含有相关设备的配置清单如下：</w:t>
      </w:r>
    </w:p>
    <w:p w14:paraId="1C00D455">
      <w:pPr>
        <w:spacing w:before="114"/>
      </w:pPr>
    </w:p>
    <w:p w14:paraId="0C83C2A4">
      <w:pPr>
        <w:spacing w:before="113"/>
      </w:pPr>
    </w:p>
    <w:tbl>
      <w:tblPr>
        <w:tblStyle w:val="5"/>
        <w:tblW w:w="8049"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2"/>
        <w:gridCol w:w="1787"/>
        <w:gridCol w:w="1608"/>
        <w:gridCol w:w="969"/>
        <w:gridCol w:w="1683"/>
      </w:tblGrid>
      <w:tr w14:paraId="5793A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02" w:type="dxa"/>
            <w:vAlign w:val="top"/>
          </w:tcPr>
          <w:p w14:paraId="2CBD43F9">
            <w:pPr>
              <w:spacing w:before="43" w:line="221" w:lineRule="auto"/>
              <w:ind w:left="788"/>
              <w:rPr>
                <w:rFonts w:ascii="宋体" w:hAnsi="宋体" w:eastAsia="宋体" w:cs="宋体"/>
                <w:sz w:val="21"/>
                <w:szCs w:val="21"/>
              </w:rPr>
            </w:pPr>
            <w:r>
              <w:rPr>
                <w:rFonts w:ascii="宋体" w:hAnsi="宋体" w:eastAsia="宋体" w:cs="宋体"/>
                <w:b/>
                <w:bCs/>
                <w:spacing w:val="-5"/>
                <w:sz w:val="21"/>
                <w:szCs w:val="21"/>
              </w:rPr>
              <w:t>名称</w:t>
            </w:r>
          </w:p>
        </w:tc>
        <w:tc>
          <w:tcPr>
            <w:tcW w:w="1787" w:type="dxa"/>
            <w:vAlign w:val="top"/>
          </w:tcPr>
          <w:p w14:paraId="1CE9936E">
            <w:pPr>
              <w:spacing w:before="70" w:line="219" w:lineRule="auto"/>
              <w:ind w:left="676"/>
              <w:rPr>
                <w:rFonts w:ascii="宋体" w:hAnsi="宋体" w:eastAsia="宋体" w:cs="宋体"/>
                <w:sz w:val="21"/>
                <w:szCs w:val="21"/>
              </w:rPr>
            </w:pPr>
            <w:r>
              <w:rPr>
                <w:rFonts w:ascii="宋体" w:hAnsi="宋体" w:eastAsia="宋体" w:cs="宋体"/>
                <w:b/>
                <w:bCs/>
                <w:spacing w:val="-1"/>
                <w:sz w:val="21"/>
                <w:szCs w:val="21"/>
              </w:rPr>
              <w:t>品牌</w:t>
            </w:r>
          </w:p>
        </w:tc>
        <w:tc>
          <w:tcPr>
            <w:tcW w:w="1608" w:type="dxa"/>
            <w:vAlign w:val="top"/>
          </w:tcPr>
          <w:p w14:paraId="2CCB55BC">
            <w:pPr>
              <w:spacing w:before="61" w:line="221" w:lineRule="auto"/>
              <w:ind w:left="589"/>
              <w:rPr>
                <w:rFonts w:ascii="宋体" w:hAnsi="宋体" w:eastAsia="宋体" w:cs="宋体"/>
                <w:sz w:val="21"/>
                <w:szCs w:val="21"/>
              </w:rPr>
            </w:pPr>
            <w:r>
              <w:rPr>
                <w:rFonts w:ascii="宋体" w:hAnsi="宋体" w:eastAsia="宋体" w:cs="宋体"/>
                <w:b/>
                <w:bCs/>
                <w:spacing w:val="1"/>
                <w:sz w:val="21"/>
                <w:szCs w:val="21"/>
              </w:rPr>
              <w:t>型号</w:t>
            </w:r>
          </w:p>
        </w:tc>
        <w:tc>
          <w:tcPr>
            <w:tcW w:w="969" w:type="dxa"/>
            <w:vAlign w:val="top"/>
          </w:tcPr>
          <w:p w14:paraId="5EA6635E">
            <w:pPr>
              <w:spacing w:before="60" w:line="219" w:lineRule="auto"/>
              <w:ind w:left="270"/>
              <w:rPr>
                <w:rFonts w:ascii="宋体" w:hAnsi="宋体" w:eastAsia="宋体" w:cs="宋体"/>
                <w:sz w:val="21"/>
                <w:szCs w:val="21"/>
              </w:rPr>
            </w:pPr>
            <w:r>
              <w:rPr>
                <w:rFonts w:ascii="宋体" w:hAnsi="宋体" w:eastAsia="宋体" w:cs="宋体"/>
                <w:b/>
                <w:bCs/>
                <w:spacing w:val="-5"/>
                <w:sz w:val="21"/>
                <w:szCs w:val="21"/>
              </w:rPr>
              <w:t>数量</w:t>
            </w:r>
          </w:p>
        </w:tc>
        <w:tc>
          <w:tcPr>
            <w:tcW w:w="1683" w:type="dxa"/>
            <w:vAlign w:val="top"/>
          </w:tcPr>
          <w:p w14:paraId="468BD507">
            <w:pPr>
              <w:spacing w:before="60" w:line="219" w:lineRule="auto"/>
              <w:ind w:left="422"/>
              <w:rPr>
                <w:rFonts w:ascii="宋体" w:hAnsi="宋体" w:eastAsia="宋体" w:cs="宋体"/>
                <w:sz w:val="21"/>
                <w:szCs w:val="21"/>
              </w:rPr>
            </w:pPr>
            <w:r>
              <w:rPr>
                <w:rFonts w:ascii="宋体" w:hAnsi="宋体" w:eastAsia="宋体" w:cs="宋体"/>
                <w:b/>
                <w:bCs/>
                <w:spacing w:val="-4"/>
                <w:sz w:val="21"/>
                <w:szCs w:val="21"/>
              </w:rPr>
              <w:t>使用年限</w:t>
            </w:r>
          </w:p>
        </w:tc>
      </w:tr>
      <w:tr w14:paraId="094D0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002" w:type="dxa"/>
            <w:vAlign w:val="top"/>
          </w:tcPr>
          <w:p w14:paraId="1C500B71">
            <w:pPr>
              <w:spacing w:before="69" w:line="219" w:lineRule="auto"/>
              <w:ind w:left="468"/>
              <w:rPr>
                <w:rFonts w:ascii="宋体" w:hAnsi="宋体" w:eastAsia="宋体" w:cs="宋体"/>
                <w:sz w:val="21"/>
                <w:szCs w:val="21"/>
              </w:rPr>
            </w:pPr>
            <w:r>
              <w:rPr>
                <w:rFonts w:ascii="宋体" w:hAnsi="宋体" w:eastAsia="宋体" w:cs="宋体"/>
                <w:b/>
                <w:bCs/>
                <w:spacing w:val="-4"/>
                <w:sz w:val="21"/>
                <w:szCs w:val="21"/>
              </w:rPr>
              <w:t>超速离心机</w:t>
            </w:r>
          </w:p>
        </w:tc>
        <w:tc>
          <w:tcPr>
            <w:tcW w:w="1787" w:type="dxa"/>
            <w:vAlign w:val="top"/>
          </w:tcPr>
          <w:p w14:paraId="4012C767">
            <w:pPr>
              <w:spacing w:before="101"/>
              <w:ind w:left="95"/>
              <w:rPr>
                <w:rFonts w:ascii="宋体" w:hAnsi="宋体" w:eastAsia="宋体" w:cs="宋体"/>
                <w:sz w:val="21"/>
                <w:szCs w:val="21"/>
              </w:rPr>
            </w:pPr>
            <w:r>
              <w:rPr>
                <w:rFonts w:ascii="宋体" w:hAnsi="宋体" w:eastAsia="宋体" w:cs="宋体"/>
                <w:b/>
                <w:bCs/>
                <w:spacing w:val="-3"/>
                <w:sz w:val="21"/>
                <w:szCs w:val="21"/>
              </w:rPr>
              <w:t>Beckman</w:t>
            </w:r>
            <w:r>
              <w:rPr>
                <w:rFonts w:ascii="宋体" w:hAnsi="宋体" w:eastAsia="宋体" w:cs="宋体"/>
                <w:spacing w:val="-3"/>
                <w:sz w:val="21"/>
                <w:szCs w:val="21"/>
              </w:rPr>
              <w:t xml:space="preserve"> </w:t>
            </w:r>
            <w:r>
              <w:rPr>
                <w:rFonts w:ascii="宋体" w:hAnsi="宋体" w:eastAsia="宋体" w:cs="宋体"/>
                <w:b/>
                <w:bCs/>
                <w:spacing w:val="-3"/>
                <w:sz w:val="21"/>
                <w:szCs w:val="21"/>
              </w:rPr>
              <w:t>Coulter</w:t>
            </w:r>
          </w:p>
        </w:tc>
        <w:tc>
          <w:tcPr>
            <w:tcW w:w="1608" w:type="dxa"/>
            <w:vAlign w:val="top"/>
          </w:tcPr>
          <w:p w14:paraId="1601994A">
            <w:pPr>
              <w:spacing w:before="145" w:line="214" w:lineRule="auto"/>
              <w:ind w:left="118"/>
              <w:rPr>
                <w:rFonts w:ascii="宋体" w:hAnsi="宋体" w:eastAsia="宋体" w:cs="宋体"/>
                <w:sz w:val="21"/>
                <w:szCs w:val="21"/>
              </w:rPr>
            </w:pPr>
            <w:r>
              <w:rPr>
                <w:rFonts w:ascii="宋体" w:hAnsi="宋体" w:eastAsia="宋体" w:cs="宋体"/>
                <w:b/>
                <w:bCs/>
                <w:spacing w:val="-3"/>
                <w:sz w:val="21"/>
                <w:szCs w:val="21"/>
              </w:rPr>
              <w:t>Optima</w:t>
            </w:r>
            <w:r>
              <w:rPr>
                <w:rFonts w:ascii="宋体" w:hAnsi="宋体" w:eastAsia="宋体" w:cs="宋体"/>
                <w:spacing w:val="-3"/>
                <w:sz w:val="21"/>
                <w:szCs w:val="21"/>
              </w:rPr>
              <w:t xml:space="preserve"> </w:t>
            </w:r>
            <w:r>
              <w:rPr>
                <w:rFonts w:ascii="宋体" w:hAnsi="宋体" w:eastAsia="宋体" w:cs="宋体"/>
                <w:b/>
                <w:bCs/>
                <w:spacing w:val="-3"/>
                <w:sz w:val="21"/>
                <w:szCs w:val="21"/>
              </w:rPr>
              <w:t>XE-100</w:t>
            </w:r>
          </w:p>
        </w:tc>
        <w:tc>
          <w:tcPr>
            <w:tcW w:w="969" w:type="dxa"/>
            <w:vAlign w:val="top"/>
          </w:tcPr>
          <w:p w14:paraId="5633A0D0">
            <w:pPr>
              <w:spacing w:before="124" w:line="241" w:lineRule="auto"/>
              <w:ind w:left="431"/>
              <w:rPr>
                <w:rFonts w:ascii="宋体" w:hAnsi="宋体" w:eastAsia="宋体" w:cs="宋体"/>
                <w:sz w:val="21"/>
                <w:szCs w:val="21"/>
              </w:rPr>
            </w:pPr>
            <w:r>
              <w:rPr>
                <w:rFonts w:ascii="宋体" w:hAnsi="宋体" w:eastAsia="宋体" w:cs="宋体"/>
                <w:b/>
                <w:bCs/>
                <w:spacing w:val="-3"/>
                <w:sz w:val="21"/>
                <w:szCs w:val="21"/>
              </w:rPr>
              <w:t>1</w:t>
            </w:r>
          </w:p>
        </w:tc>
        <w:tc>
          <w:tcPr>
            <w:tcW w:w="1683" w:type="dxa"/>
            <w:vAlign w:val="top"/>
          </w:tcPr>
          <w:p w14:paraId="6B5C0A06">
            <w:pPr>
              <w:spacing w:before="112"/>
              <w:ind w:left="781"/>
              <w:rPr>
                <w:rFonts w:ascii="宋体" w:hAnsi="宋体" w:eastAsia="宋体" w:cs="宋体"/>
                <w:sz w:val="21"/>
                <w:szCs w:val="21"/>
              </w:rPr>
            </w:pPr>
            <w:r>
              <w:rPr>
                <w:rFonts w:ascii="宋体" w:hAnsi="宋体" w:eastAsia="宋体" w:cs="宋体"/>
                <w:b/>
                <w:bCs/>
                <w:spacing w:val="-3"/>
                <w:sz w:val="21"/>
                <w:szCs w:val="21"/>
              </w:rPr>
              <w:t>3</w:t>
            </w:r>
          </w:p>
        </w:tc>
      </w:tr>
    </w:tbl>
    <w:p w14:paraId="0FE077BE">
      <w:pPr>
        <w:rPr>
          <w:rFonts w:ascii="Arial"/>
          <w:sz w:val="21"/>
        </w:rPr>
      </w:pPr>
      <w:bookmarkStart w:id="0" w:name="_GoBack"/>
      <w:bookmarkEnd w:id="0"/>
    </w:p>
    <w:sectPr>
      <w:pgSz w:w="11900" w:h="16830"/>
      <w:pgMar w:top="1430" w:right="1785" w:bottom="0" w:left="16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A0956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1379</Words>
  <Characters>1489</Characters>
  <TotalTime>0</TotalTime>
  <ScaleCrop>false</ScaleCrop>
  <LinksUpToDate>false</LinksUpToDate>
  <CharactersWithSpaces>1525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2025-07-16T12:11:00Z</dcterms:created>
  <dc:creator>his</dc:creator>
  <cp:lastModifiedBy>刘鹏飞</cp:lastModifiedBy>
  <dcterms:modified xsi:type="dcterms:W3CDTF">2025-07-17T01:38:55Z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2025-07-16T12:11:46Z</vt:filetime>
  </property>
  <property fmtid="{D5CDD505-2E9C-101B-9397-08002B2CF9AE}" pid="4" name="UsrData">
    <vt:lpwstr>6877267fd6b895001fdcb392wl</vt:lpwstr>
  </property>
  <property fmtid="{D5CDD505-2E9C-101B-9397-08002B2CF9AE}" pid="5" name="KSOTemplateDocerSaveRecord">
    <vt:lpwstr>eyJoZGlkIjoiOGVjMzFhNGE5ZDgzNWVmMjZiZjhmYWMwNjk0OTIxOTkiLCJ1c2VySWQiOiIxNjU3MTU4OTMzIn0=</vt:lpwstr>
  </property>
  <property fmtid="{D5CDD505-2E9C-101B-9397-08002B2CF9AE}" pid="6" name="KSOProductBuildVer">
    <vt:lpwstr>2052-12.1.0.21915</vt:lpwstr>
  </property>
  <property fmtid="{D5CDD505-2E9C-101B-9397-08002B2CF9AE}" pid="7" name="ICV">
    <vt:lpwstr>2CED9E0096194CB2A268BCB8C374C211_12</vt:lpwstr>
  </property>
</Properties>
</file>