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8D13C">
      <w:pPr>
        <w:pStyle w:val="2"/>
        <w:numPr>
          <w:ilvl w:val="0"/>
          <w:numId w:val="1"/>
        </w:numPr>
        <w:topLinePunct w:val="0"/>
        <w:ind w:left="0" w:leftChars="0" w:firstLine="0" w:firstLineChars="0"/>
        <w:rPr>
          <w:rFonts w:hint="eastAsia" w:ascii="黑体" w:hAnsi="黑体" w:eastAsia="黑体" w:cs="黑体"/>
          <w:b w:val="0"/>
          <w:highlight w:val="none"/>
          <w:u w:val="none"/>
        </w:rPr>
      </w:pPr>
      <w:r>
        <w:rPr>
          <w:highlight w:val="none"/>
          <w:u w:val="none"/>
        </w:rPr>
        <w:t>技术参数：</w:t>
      </w:r>
    </w:p>
    <w:p w14:paraId="7A1AD6CB">
      <w:pPr>
        <w:pStyle w:val="11"/>
        <w:rPr>
          <w:rFonts w:ascii="Times New Roman" w:hAnsi="Times New Roman" w:eastAsia="宋体" w:cs="Times New Roman"/>
          <w:sz w:val="24"/>
          <w:szCs w:val="24"/>
          <w:highlight w:val="none"/>
          <w:u w:val="none"/>
        </w:rPr>
      </w:pPr>
      <w:r>
        <w:rPr>
          <w:rFonts w:ascii="Times New Roman" w:hAnsi="Times New Roman" w:eastAsia="宋体" w:cs="Times New Roman"/>
          <w:sz w:val="24"/>
          <w:szCs w:val="24"/>
          <w:highlight w:val="none"/>
          <w:u w:val="none"/>
        </w:rPr>
        <w:t>1、电源要求：内部可充电锂电池供电，电池容量 600mAh，额定电压 3.8V（-0.4V,+0.4V）</w:t>
      </w:r>
    </w:p>
    <w:p w14:paraId="1853CCCB">
      <w:pPr>
        <w:pStyle w:val="11"/>
        <w:numPr>
          <w:ilvl w:val="0"/>
          <w:numId w:val="2"/>
        </w:numPr>
        <w:pBdr>
          <w:bottom w:val="none" w:color="auto" w:sz="0" w:space="1"/>
        </w:pBdr>
        <w:topLinePunct w:val="0"/>
        <w:ind w:left="0" w:leftChars="0" w:firstLine="480" w:firstLineChars="0"/>
        <w:rPr>
          <w:rFonts w:hint="eastAsia" w:ascii="宋体" w:hAnsi="宋体" w:eastAsia="宋体" w:cs="宋体"/>
          <w:b w:val="0"/>
          <w:sz w:val="24"/>
          <w:szCs w:val="24"/>
          <w:highlight w:val="none"/>
          <w:u w:val="none"/>
        </w:rPr>
      </w:pPr>
      <w:r>
        <w:rPr>
          <w:rFonts w:ascii="Times New Roman" w:hAnsi="Times New Roman" w:eastAsia="宋体" w:cs="Times New Roman"/>
          <w:sz w:val="24"/>
          <w:szCs w:val="24"/>
          <w:highlight w:val="none"/>
          <w:u w:val="none"/>
        </w:rPr>
        <w:t>显示屏：2.4 寸，分辨率 240x320 TFT 屏</w:t>
      </w:r>
    </w:p>
    <w:p w14:paraId="2FDB58DF">
      <w:pPr>
        <w:pStyle w:val="11"/>
        <w:numPr>
          <w:ilvl w:val="0"/>
          <w:numId w:val="2"/>
        </w:numPr>
        <w:pBdr>
          <w:bottom w:val="none" w:color="auto" w:sz="0" w:space="1"/>
        </w:pBdr>
        <w:topLinePunct w:val="0"/>
        <w:ind w:left="0" w:leftChars="0" w:firstLine="480" w:firstLineChars="0"/>
        <w:rPr>
          <w:rFonts w:hint="eastAsia" w:ascii="宋体" w:hAnsi="宋体" w:eastAsia="宋体" w:cs="宋体"/>
          <w:b w:val="0"/>
          <w:sz w:val="24"/>
          <w:szCs w:val="24"/>
          <w:highlight w:val="none"/>
          <w:u w:val="none"/>
        </w:rPr>
      </w:pPr>
      <w:r>
        <w:rPr>
          <w:rFonts w:ascii="Times New Roman" w:hAnsi="Times New Roman" w:eastAsia="宋体" w:cs="Times New Roman"/>
          <w:sz w:val="24"/>
          <w:szCs w:val="24"/>
          <w:highlight w:val="none"/>
          <w:u w:val="none"/>
        </w:rPr>
        <w:t>产品安全类型：BF型应用部分</w:t>
      </w:r>
    </w:p>
    <w:p w14:paraId="62A77417">
      <w:pPr>
        <w:pStyle w:val="11"/>
        <w:numPr>
          <w:ilvl w:val="0"/>
          <w:numId w:val="2"/>
        </w:numPr>
        <w:pBdr>
          <w:bottom w:val="none" w:color="auto" w:sz="0" w:space="1"/>
        </w:pBdr>
        <w:topLinePunct w:val="0"/>
        <w:ind w:left="0" w:leftChars="0" w:firstLine="480" w:firstLineChars="0"/>
        <w:rPr>
          <w:rFonts w:hint="eastAsia" w:ascii="宋体" w:hAnsi="宋体" w:eastAsia="宋体" w:cs="宋体"/>
          <w:b w:val="0"/>
          <w:sz w:val="24"/>
          <w:szCs w:val="24"/>
          <w:highlight w:val="none"/>
          <w:u w:val="none"/>
        </w:rPr>
      </w:pPr>
      <w:r>
        <w:rPr>
          <w:rFonts w:ascii="Times New Roman" w:hAnsi="Times New Roman" w:eastAsia="宋体" w:cs="Times New Roman"/>
          <w:sz w:val="24"/>
          <w:szCs w:val="24"/>
          <w:highlight w:val="none"/>
          <w:u w:val="none"/>
        </w:rPr>
        <w:t>刺激器不少于三种输出模式：A 模式、B 模式和自定义模式</w:t>
      </w:r>
    </w:p>
    <w:p w14:paraId="6AF9D5C4">
      <w:pPr>
        <w:pStyle w:val="11"/>
        <w:numPr>
          <w:ilvl w:val="0"/>
          <w:numId w:val="3"/>
        </w:numPr>
        <w:pBdr>
          <w:bottom w:val="none" w:color="auto" w:sz="0" w:space="1"/>
        </w:pBdr>
        <w:topLinePunct w:val="0"/>
        <w:ind w:left="0" w:leftChars="0" w:firstLine="480" w:firstLineChars="0"/>
        <w:rPr>
          <w:rFonts w:hint="eastAsia" w:ascii="宋体" w:hAnsi="宋体" w:eastAsia="宋体" w:cs="宋体"/>
          <w:b w:val="0"/>
          <w:sz w:val="24"/>
          <w:szCs w:val="24"/>
          <w:highlight w:val="none"/>
          <w:u w:val="none"/>
        </w:rPr>
      </w:pPr>
      <w:r>
        <w:rPr>
          <w:rFonts w:ascii="Times New Roman" w:hAnsi="Times New Roman" w:eastAsia="宋体" w:cs="Times New Roman"/>
          <w:sz w:val="24"/>
          <w:szCs w:val="24"/>
          <w:highlight w:val="none"/>
          <w:u w:val="none"/>
        </w:rPr>
        <w:t>A模式输出参数及可编程范围：脉冲幅度：在0级至设定等级间随机变换；脉冲宽度（μs）：200，误差±10%；脉冲频率（Hz）：在 1-120 范围内随机变换；</w:t>
      </w:r>
    </w:p>
    <w:p w14:paraId="4055024B">
      <w:pPr>
        <w:pStyle w:val="11"/>
        <w:numPr>
          <w:ilvl w:val="0"/>
          <w:numId w:val="3"/>
        </w:numPr>
        <w:pBdr>
          <w:bottom w:val="none" w:color="auto" w:sz="0" w:space="1"/>
        </w:pBdr>
        <w:topLinePunct w:val="0"/>
        <w:ind w:left="0" w:leftChars="0" w:firstLine="480" w:firstLineChars="0"/>
        <w:rPr>
          <w:rFonts w:hint="eastAsia" w:ascii="宋体" w:hAnsi="宋体" w:eastAsia="宋体" w:cs="宋体"/>
          <w:b w:val="0"/>
          <w:sz w:val="24"/>
          <w:szCs w:val="24"/>
          <w:highlight w:val="none"/>
          <w:u w:val="none"/>
        </w:rPr>
      </w:pPr>
      <w:r>
        <w:rPr>
          <w:rFonts w:ascii="Times New Roman" w:hAnsi="Times New Roman" w:eastAsia="宋体" w:cs="Times New Roman"/>
          <w:sz w:val="24"/>
          <w:szCs w:val="24"/>
          <w:highlight w:val="none"/>
          <w:u w:val="none"/>
        </w:rPr>
        <w:t>B模式输出参数及可编程范围：脉冲宽度（μs）：200，误差±10%；脉冲频率（Hz）：20Hz 运行 7s、4Hz 运行 3s，两者交替,误差±25%</w:t>
      </w:r>
    </w:p>
    <w:p w14:paraId="37F7CDDF">
      <w:pPr>
        <w:pStyle w:val="11"/>
        <w:numPr>
          <w:ilvl w:val="0"/>
          <w:numId w:val="3"/>
        </w:numPr>
        <w:pBdr>
          <w:bottom w:val="none" w:color="auto" w:sz="0" w:space="1"/>
        </w:pBdr>
        <w:topLinePunct w:val="0"/>
        <w:ind w:left="0" w:leftChars="0" w:firstLine="480" w:firstLineChars="0"/>
        <w:rPr>
          <w:rFonts w:hint="eastAsia" w:ascii="宋体" w:hAnsi="宋体" w:eastAsia="宋体" w:cs="宋体"/>
          <w:b w:val="0"/>
          <w:sz w:val="24"/>
          <w:szCs w:val="24"/>
          <w:highlight w:val="none"/>
          <w:u w:val="none"/>
        </w:rPr>
      </w:pPr>
      <w:r>
        <w:rPr>
          <w:rFonts w:ascii="Times New Roman" w:hAnsi="Times New Roman" w:eastAsia="宋体" w:cs="Times New Roman"/>
          <w:sz w:val="24"/>
          <w:szCs w:val="24"/>
          <w:highlight w:val="none"/>
          <w:u w:val="none"/>
        </w:rPr>
        <w:t>自定义模式输出参数及可编程范围：脉冲宽度（μs）：100-2000，误差±10%；脉冲频率（Hz）：范围 1-120, 误差±10%；脉冲开启时间（</w:t>
      </w:r>
      <w:bookmarkStart w:id="0" w:name="_GoBack"/>
      <w:bookmarkEnd w:id="0"/>
      <w:r>
        <w:rPr>
          <w:rFonts w:ascii="Times New Roman" w:hAnsi="Times New Roman" w:eastAsia="宋体" w:cs="Times New Roman"/>
          <w:sz w:val="24"/>
          <w:szCs w:val="24"/>
          <w:highlight w:val="none"/>
          <w:u w:val="none"/>
        </w:rPr>
        <w:t>s）：范围 10-200, 误差±10%；脉冲关闭时间（s）：范围10-200, 误差±10%。</w:t>
      </w:r>
    </w:p>
    <w:p w14:paraId="195ADBE8">
      <w:pPr>
        <w:pStyle w:val="11"/>
        <w:numPr>
          <w:ilvl w:val="0"/>
          <w:numId w:val="2"/>
        </w:numPr>
        <w:pBdr>
          <w:bottom w:val="none" w:color="auto" w:sz="0" w:space="1"/>
        </w:pBdr>
        <w:topLinePunct w:val="0"/>
        <w:ind w:left="0" w:leftChars="0" w:firstLine="480" w:firstLineChars="0"/>
        <w:rPr>
          <w:rFonts w:hint="eastAsia" w:ascii="宋体" w:hAnsi="宋体" w:eastAsia="宋体" w:cs="宋体"/>
          <w:b w:val="0"/>
          <w:sz w:val="24"/>
          <w:szCs w:val="24"/>
          <w:highlight w:val="none"/>
          <w:u w:val="none"/>
        </w:rPr>
      </w:pPr>
      <w:r>
        <w:rPr>
          <w:rFonts w:ascii="Times New Roman" w:hAnsi="Times New Roman" w:eastAsia="宋体" w:cs="Times New Roman"/>
          <w:sz w:val="24"/>
          <w:szCs w:val="24"/>
          <w:highlight w:val="none"/>
          <w:u w:val="none"/>
        </w:rPr>
        <w:t>刺激时长：时长范围 0min-480min,误差±10%。</w:t>
      </w:r>
    </w:p>
    <w:p w14:paraId="395D389B">
      <w:pPr>
        <w:pStyle w:val="11"/>
        <w:numPr>
          <w:ilvl w:val="0"/>
          <w:numId w:val="2"/>
        </w:numPr>
        <w:pBdr>
          <w:bottom w:val="none" w:color="auto" w:sz="0" w:space="1"/>
        </w:pBdr>
        <w:topLinePunct w:val="0"/>
        <w:ind w:left="0" w:leftChars="0" w:firstLine="480" w:firstLineChars="0"/>
        <w:rPr>
          <w:rFonts w:hint="eastAsia" w:ascii="宋体" w:hAnsi="宋体" w:eastAsia="宋体" w:cs="宋体"/>
          <w:b w:val="0"/>
          <w:sz w:val="24"/>
          <w:szCs w:val="24"/>
          <w:highlight w:val="none"/>
          <w:u w:val="none"/>
        </w:rPr>
      </w:pPr>
      <w:r>
        <w:rPr>
          <w:rFonts w:ascii="Times New Roman" w:hAnsi="Times New Roman" w:eastAsia="宋体" w:cs="Times New Roman"/>
          <w:sz w:val="24"/>
          <w:szCs w:val="24"/>
          <w:highlight w:val="none"/>
          <w:u w:val="none"/>
        </w:rPr>
        <w:t>刺激器输出幅度：幅度为0～60级，以每级不大于1V断续调节，最大输出电压强度25 ±5V(500Ω负载)</w:t>
      </w:r>
    </w:p>
    <w:p w14:paraId="5E3F5E3C">
      <w:pPr>
        <w:pStyle w:val="11"/>
        <w:numPr>
          <w:ilvl w:val="0"/>
          <w:numId w:val="2"/>
        </w:numPr>
        <w:pBdr>
          <w:bottom w:val="none" w:color="auto" w:sz="0" w:space="1"/>
        </w:pBdr>
        <w:topLinePunct w:val="0"/>
        <w:ind w:left="0" w:leftChars="0" w:firstLine="480" w:firstLineChars="0"/>
        <w:rPr>
          <w:rFonts w:hint="eastAsia" w:ascii="宋体" w:hAnsi="宋体" w:eastAsia="宋体" w:cs="宋体"/>
          <w:b w:val="0"/>
          <w:sz w:val="24"/>
          <w:szCs w:val="24"/>
          <w:highlight w:val="none"/>
          <w:u w:val="none"/>
        </w:rPr>
      </w:pPr>
      <w:r>
        <w:rPr>
          <w:rFonts w:ascii="Times New Roman" w:hAnsi="Times New Roman" w:eastAsia="宋体" w:cs="Times New Roman"/>
          <w:sz w:val="24"/>
          <w:szCs w:val="24"/>
          <w:highlight w:val="none"/>
          <w:u w:val="none"/>
        </w:rPr>
        <w:t>电极导线长度：1300mm±15%，电极导线两个金属触点宽2.9mm±5%,直径 4.5mm± 5%</w:t>
      </w:r>
    </w:p>
    <w:p w14:paraId="4DF330EC">
      <w:pPr>
        <w:pStyle w:val="11"/>
        <w:numPr>
          <w:ilvl w:val="0"/>
          <w:numId w:val="2"/>
        </w:numPr>
        <w:pBdr>
          <w:bottom w:val="none" w:color="auto" w:sz="0" w:space="1"/>
        </w:pBdr>
        <w:topLinePunct w:val="0"/>
        <w:ind w:left="0" w:leftChars="0" w:firstLine="480" w:firstLineChars="0"/>
        <w:rPr>
          <w:rFonts w:hint="eastAsia" w:ascii="宋体" w:hAnsi="宋体" w:eastAsia="宋体" w:cs="宋体"/>
          <w:b w:val="0"/>
          <w:sz w:val="24"/>
          <w:szCs w:val="24"/>
          <w:highlight w:val="none"/>
          <w:u w:val="none"/>
        </w:rPr>
      </w:pPr>
      <w:r>
        <w:rPr>
          <w:rFonts w:ascii="Times New Roman" w:hAnsi="Times New Roman" w:eastAsia="宋体" w:cs="Times New Roman"/>
          <w:sz w:val="24"/>
          <w:szCs w:val="24"/>
          <w:highlight w:val="none"/>
          <w:u w:val="none"/>
        </w:rPr>
        <w:t>电极阻抗：4欧姆±10%</w:t>
      </w:r>
    </w:p>
    <w:p w14:paraId="654A3B11">
      <w:pPr>
        <w:pStyle w:val="11"/>
        <w:numPr>
          <w:ilvl w:val="0"/>
          <w:numId w:val="2"/>
        </w:numPr>
        <w:pBdr>
          <w:bottom w:val="none" w:color="auto" w:sz="0" w:space="1"/>
        </w:pBdr>
        <w:topLinePunct w:val="0"/>
        <w:ind w:left="0" w:leftChars="0" w:firstLine="480" w:firstLineChars="0"/>
        <w:rPr>
          <w:rFonts w:hint="eastAsia" w:ascii="宋体" w:hAnsi="宋体" w:eastAsia="宋体" w:cs="宋体"/>
          <w:b w:val="0"/>
          <w:sz w:val="24"/>
          <w:szCs w:val="24"/>
          <w:highlight w:val="none"/>
          <w:u w:val="none"/>
        </w:rPr>
      </w:pPr>
      <w:r>
        <w:rPr>
          <w:rFonts w:ascii="Times New Roman" w:hAnsi="Times New Roman" w:eastAsia="宋体" w:cs="Times New Roman"/>
          <w:sz w:val="24"/>
          <w:szCs w:val="24"/>
          <w:highlight w:val="none"/>
          <w:u w:val="none"/>
        </w:rPr>
        <w:t>电极最大允许输出限制：电极最大允许输出电压不超过110V</w:t>
      </w:r>
    </w:p>
    <w:p w14:paraId="102AFDE0">
      <w:pPr>
        <w:pStyle w:val="11"/>
        <w:numPr>
          <w:ilvl w:val="0"/>
          <w:numId w:val="2"/>
        </w:numPr>
        <w:pBdr>
          <w:bottom w:val="none" w:color="auto" w:sz="0" w:space="1"/>
        </w:pBdr>
        <w:topLinePunct w:val="0"/>
        <w:ind w:left="0" w:leftChars="0" w:firstLine="480" w:firstLineChars="0"/>
        <w:rPr>
          <w:rFonts w:hint="eastAsia"/>
        </w:rPr>
      </w:pPr>
      <w:r>
        <w:rPr>
          <w:rFonts w:ascii="Times New Roman" w:hAnsi="Times New Roman" w:eastAsia="宋体" w:cs="Times New Roman"/>
          <w:sz w:val="24"/>
          <w:szCs w:val="24"/>
          <w:highlight w:val="none"/>
          <w:u w:val="none"/>
        </w:rPr>
        <w:t>适应症范围：睡眠障碍，焦虑</w:t>
      </w:r>
    </w:p>
    <w:p w14:paraId="5C9B9768">
      <w:pPr>
        <w:pStyle w:val="11"/>
        <w:numPr>
          <w:ilvl w:val="0"/>
          <w:numId w:val="2"/>
        </w:numPr>
        <w:pBdr>
          <w:bottom w:val="none" w:color="auto" w:sz="0" w:space="1"/>
        </w:pBdr>
        <w:topLinePunct w:val="0"/>
        <w:ind w:left="0" w:leftChars="0" w:firstLine="480" w:firstLineChars="0"/>
        <w:rPr>
          <w:rFonts w:hint="eastAsia"/>
        </w:rPr>
      </w:pPr>
      <w:r>
        <w:t>刺激位置：耳甲艇</w:t>
      </w:r>
    </w:p>
    <w:p w14:paraId="09A47E8E">
      <w:pPr>
        <w:pStyle w:val="2"/>
        <w:numPr>
          <w:ilvl w:val="0"/>
          <w:numId w:val="1"/>
        </w:numPr>
        <w:topLinePunct w:val="0"/>
        <w:ind w:left="0" w:leftChars="0" w:firstLine="0" w:firstLineChars="0"/>
        <w:rPr>
          <w:rFonts w:hint="eastAsia" w:ascii="黑体" w:hAnsi="黑体" w:eastAsia="黑体" w:cs="黑体"/>
          <w:b w:val="0"/>
          <w:highlight w:val="none"/>
          <w:u w:val="none"/>
        </w:rPr>
      </w:pPr>
      <w:r>
        <w:rPr>
          <w:highlight w:val="none"/>
          <w:u w:val="none"/>
        </w:rPr>
        <w:t>主要配置（单台）</w:t>
      </w:r>
    </w:p>
    <w:p w14:paraId="476FD265">
      <w:pPr>
        <w:pStyle w:val="11"/>
        <w:numPr>
          <w:ilvl w:val="0"/>
          <w:numId w:val="4"/>
        </w:numPr>
        <w:topLinePunct w:val="0"/>
        <w:ind w:left="0" w:leftChars="0" w:firstLine="480" w:firstLineChars="0"/>
        <w:rPr>
          <w:rFonts w:hint="eastAsia" w:ascii="宋体" w:hAnsi="宋体" w:eastAsia="宋体" w:cs="宋体"/>
          <w:b w:val="0"/>
          <w:sz w:val="24"/>
          <w:szCs w:val="24"/>
          <w:highlight w:val="none"/>
          <w:u w:val="none"/>
        </w:rPr>
      </w:pPr>
      <w:r>
        <w:rPr>
          <w:rFonts w:ascii="Times New Roman" w:hAnsi="Times New Roman" w:eastAsia="宋体" w:cs="Times New Roman"/>
          <w:sz w:val="24"/>
          <w:szCs w:val="24"/>
          <w:highlight w:val="none"/>
          <w:u w:val="none"/>
        </w:rPr>
        <w:t>主机+耳部刺激电极</w:t>
      </w:r>
    </w:p>
    <w:p w14:paraId="46751F15">
      <w:pPr>
        <w:pStyle w:val="11"/>
        <w:numPr>
          <w:ilvl w:val="0"/>
          <w:numId w:val="4"/>
        </w:numPr>
        <w:topLinePunct w:val="0"/>
        <w:ind w:left="0" w:leftChars="0" w:firstLine="480" w:firstLineChars="0"/>
        <w:rPr>
          <w:rFonts w:hint="eastAsia" w:ascii="宋体" w:hAnsi="宋体" w:eastAsia="宋体" w:cs="宋体"/>
          <w:b w:val="0"/>
          <w:sz w:val="24"/>
          <w:szCs w:val="24"/>
          <w:highlight w:val="none"/>
          <w:u w:val="none"/>
        </w:rPr>
      </w:pPr>
      <w:r>
        <w:rPr>
          <w:rFonts w:ascii="Times New Roman" w:hAnsi="Times New Roman" w:eastAsia="宋体" w:cs="Times New Roman"/>
          <w:sz w:val="24"/>
          <w:szCs w:val="24"/>
          <w:highlight w:val="none"/>
          <w:u w:val="none"/>
        </w:rPr>
        <w:t>说明书</w:t>
      </w:r>
    </w:p>
    <w:p w14:paraId="19188992">
      <w:pPr>
        <w:pStyle w:val="11"/>
        <w:numPr>
          <w:ilvl w:val="0"/>
          <w:numId w:val="4"/>
        </w:numPr>
        <w:pBdr>
          <w:bottom w:val="none" w:color="auto" w:sz="0" w:space="0"/>
        </w:pBdr>
        <w:topLinePunct w:val="0"/>
        <w:ind w:left="0" w:leftChars="0" w:firstLine="480" w:firstLineChars="0"/>
        <w:rPr>
          <w:rFonts w:hint="eastAsia"/>
        </w:rPr>
      </w:pPr>
      <w:r>
        <w:rPr>
          <w:rFonts w:ascii="Times New Roman" w:hAnsi="Times New Roman" w:eastAsia="宋体" w:cs="Times New Roman"/>
          <w:sz w:val="24"/>
          <w:szCs w:val="24"/>
          <w:highlight w:val="none"/>
          <w:u w:val="none"/>
        </w:rPr>
        <w:t>合格证</w:t>
      </w:r>
    </w:p>
    <w:p w14:paraId="29341049">
      <w:pPr>
        <w:pStyle w:val="11"/>
        <w:numPr>
          <w:ilvl w:val="0"/>
          <w:numId w:val="4"/>
        </w:numPr>
        <w:pBdr>
          <w:bottom w:val="none" w:color="auto" w:sz="0" w:space="0"/>
        </w:pBdr>
        <w:topLinePunct w:val="0"/>
        <w:ind w:left="0" w:leftChars="0" w:firstLine="480" w:firstLineChars="0"/>
        <w:rPr>
          <w:rFonts w:hint="eastAsia"/>
        </w:rPr>
      </w:pPr>
      <w:r>
        <w:t>专用充电头</w:t>
      </w:r>
    </w:p>
    <w:p w14:paraId="11F718D3">
      <w:pPr>
        <w:pStyle w:val="3"/>
        <w:rPr>
          <w:rFonts w:ascii="Times New Roman" w:hAnsi="Times New Roman" w:eastAsia="宋体" w:cs="Times New Roman"/>
          <w:color w:val="000000"/>
          <w:sz w:val="24"/>
          <w:szCs w:val="24"/>
          <w:highlight w:val="none"/>
        </w:rPr>
      </w:pPr>
      <w:r>
        <w:rPr>
          <w:highlight w:val="none"/>
          <w:u w:val="none"/>
        </w:rPr>
        <w:t>服务要求</w:t>
      </w:r>
    </w:p>
    <w:p w14:paraId="006508E4">
      <w:pPr>
        <w:pStyle w:val="11"/>
        <w:numPr>
          <w:ilvl w:val="0"/>
          <w:numId w:val="5"/>
        </w:numPr>
        <w:topLinePunct w:val="0"/>
        <w:ind w:left="0" w:leftChars="0" w:firstLine="480" w:firstLineChars="0"/>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color w:val="000000"/>
          <w:sz w:val="24"/>
          <w:szCs w:val="24"/>
          <w:highlight w:val="none"/>
        </w:rPr>
        <w:t>提供详细的产品使用说明书和操作指南</w:t>
      </w:r>
      <w:r>
        <w:rPr>
          <w:rFonts w:ascii="Times New Roman" w:hAnsi="Times New Roman" w:eastAsia="宋体" w:cs="Times New Roman"/>
          <w:b w:val="0"/>
          <w:i w:val="0"/>
          <w:strike w:val="0"/>
          <w:color w:val="auto"/>
          <w:sz w:val="24"/>
          <w:szCs w:val="24"/>
          <w:highlight w:val="none"/>
          <w:u w:val="none"/>
        </w:rPr>
        <w:t>。</w:t>
      </w:r>
    </w:p>
    <w:p w14:paraId="3F12B1A0">
      <w:pPr>
        <w:pStyle w:val="11"/>
        <w:numPr>
          <w:ilvl w:val="0"/>
          <w:numId w:val="5"/>
        </w:numPr>
        <w:topLinePunct w:val="0"/>
        <w:ind w:left="0" w:leftChars="0" w:firstLine="480" w:firstLineChars="0"/>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提供安装和调试服务，确保产品正确安装并能正常使用。</w:t>
      </w:r>
    </w:p>
    <w:p w14:paraId="4B3513B4">
      <w:pPr>
        <w:pStyle w:val="11"/>
        <w:numPr>
          <w:ilvl w:val="0"/>
          <w:numId w:val="5"/>
        </w:numPr>
        <w:topLinePunct w:val="0"/>
        <w:ind w:left="0" w:leftChars="0" w:firstLine="480" w:firstLineChars="0"/>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提供操作培训，使科室工作人员能够熟练掌握产品的使用方法。</w:t>
      </w:r>
    </w:p>
    <w:p w14:paraId="4DC44110">
      <w:pPr>
        <w:pStyle w:val="11"/>
        <w:numPr>
          <w:ilvl w:val="0"/>
          <w:numId w:val="5"/>
        </w:numPr>
        <w:topLinePunct w:val="0"/>
        <w:ind w:left="0" w:leftChars="0" w:firstLine="480" w:firstLineChars="0"/>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提供≥3年的免费保修期，在此期间内非人为损坏由供应商负责免费维修或更换。</w:t>
      </w:r>
    </w:p>
    <w:p w14:paraId="4AA37A54">
      <w:pPr>
        <w:pStyle w:val="3"/>
        <w:rPr>
          <w:highlight w:val="none"/>
          <w:u w:val="none"/>
        </w:rPr>
      </w:pPr>
      <w:r>
        <w:rPr>
          <w:highlight w:val="none"/>
          <w:u w:val="none"/>
        </w:rPr>
        <w:t>商务要求</w:t>
      </w:r>
    </w:p>
    <w:p w14:paraId="0D5ED7F9">
      <w:pPr>
        <w:pStyle w:val="11"/>
        <w:numPr>
          <w:ilvl w:val="0"/>
          <w:numId w:val="6"/>
        </w:numPr>
        <w:topLinePunct w:val="0"/>
        <w:ind w:left="0" w:leftChars="0" w:firstLine="480" w:firstLineChars="0"/>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时间要求:中标供应商应在接到送货通知后7天内完成设备的交付，并在15天内完成安装调试。</w:t>
      </w:r>
    </w:p>
    <w:p w14:paraId="567E02CE">
      <w:pPr>
        <w:pStyle w:val="11"/>
        <w:numPr>
          <w:ilvl w:val="0"/>
          <w:numId w:val="6"/>
        </w:numPr>
        <w:topLinePunct w:val="0"/>
        <w:ind w:left="0" w:leftChars="0" w:firstLine="480" w:firstLineChars="0"/>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地点要求:交货地点院方指定地点。</w:t>
      </w:r>
    </w:p>
    <w:p w14:paraId="1D74BD0F">
      <w:pPr>
        <w:pStyle w:val="11"/>
        <w:numPr>
          <w:ilvl w:val="0"/>
          <w:numId w:val="6"/>
        </w:numPr>
        <w:topLinePunct w:val="0"/>
        <w:ind w:left="0" w:leftChars="0" w:firstLine="480" w:firstLineChars="0"/>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财务要求:货到交货地点并经验收合格后，在货物验收合格和收到厂家开具的等额增值税普通发票等付款材料之日起30个工作日内向乙方支付100%货款。</w:t>
      </w:r>
    </w:p>
    <w:p w14:paraId="17AE2C8B">
      <w:pPr>
        <w:pStyle w:val="11"/>
        <w:numPr>
          <w:ilvl w:val="0"/>
          <w:numId w:val="6"/>
        </w:numPr>
        <w:topLinePunct w:val="0"/>
        <w:ind w:left="0" w:leftChars="0" w:firstLine="480" w:firstLineChars="0"/>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包装与运输:设备需采用防震包装，确保运输过程中的安全。运输费用由供应商承担，运输途中的一切风险由供应商负责。</w:t>
      </w:r>
    </w:p>
    <w:p w14:paraId="50256084">
      <w:pPr>
        <w:pStyle w:val="11"/>
        <w:numPr>
          <w:ilvl w:val="0"/>
          <w:numId w:val="6"/>
        </w:numPr>
        <w:topLinePunct w:val="0"/>
        <w:ind w:left="0" w:leftChars="0" w:firstLine="480" w:firstLineChars="0"/>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D754C"/>
    <w:multiLevelType w:val="singleLevel"/>
    <w:tmpl w:val="826D754C"/>
    <w:lvl w:ilvl="0" w:tentative="0">
      <w:start w:val="2"/>
      <w:numFmt w:val="decimal"/>
      <w:suff w:val="nothing"/>
      <w:lvlText w:val="%1、"/>
      <w:lvlJc w:val="left"/>
      <w:pPr>
        <w:ind w:left="0" w:firstLine="480"/>
      </w:pPr>
      <w:rPr>
        <w:rFonts w:hint="default"/>
      </w:rPr>
    </w:lvl>
  </w:abstractNum>
  <w:abstractNum w:abstractNumId="1">
    <w:nsid w:val="9D455680"/>
    <w:multiLevelType w:val="singleLevel"/>
    <w:tmpl w:val="9D455680"/>
    <w:lvl w:ilvl="0" w:tentative="0">
      <w:start w:val="1"/>
      <w:numFmt w:val="chineseCounting"/>
      <w:suff w:val="nothing"/>
      <w:lvlText w:val="%1、"/>
      <w:lvlJc w:val="left"/>
      <w:pPr>
        <w:ind w:left="0" w:firstLine="0"/>
      </w:pPr>
      <w:rPr>
        <w:rFonts w:hint="eastAsia"/>
      </w:rPr>
    </w:lvl>
  </w:abstractNum>
  <w:abstractNum w:abstractNumId="2">
    <w:nsid w:val="CE239F15"/>
    <w:multiLevelType w:val="singleLevel"/>
    <w:tmpl w:val="CE239F15"/>
    <w:lvl w:ilvl="0" w:tentative="0">
      <w:start w:val="1"/>
      <w:numFmt w:val="decimal"/>
      <w:suff w:val="nothing"/>
      <w:lvlText w:val="%1、"/>
      <w:lvlJc w:val="left"/>
      <w:pPr>
        <w:ind w:left="0" w:firstLine="480"/>
      </w:pPr>
      <w:rPr>
        <w:rFonts w:hint="default"/>
      </w:rPr>
    </w:lvl>
  </w:abstractNum>
  <w:abstractNum w:abstractNumId="3">
    <w:nsid w:val="D4C31AD5"/>
    <w:multiLevelType w:val="singleLevel"/>
    <w:tmpl w:val="D4C31AD5"/>
    <w:lvl w:ilvl="0" w:tentative="0">
      <w:start w:val="1"/>
      <w:numFmt w:val="decimal"/>
      <w:suff w:val="nothing"/>
      <w:lvlText w:val="4.%1、"/>
      <w:lvlJc w:val="left"/>
      <w:pPr>
        <w:ind w:left="0" w:firstLine="480"/>
      </w:pPr>
      <w:rPr>
        <w:rFonts w:hint="default"/>
      </w:rPr>
    </w:lvl>
  </w:abstractNum>
  <w:abstractNum w:abstractNumId="4">
    <w:nsid w:val="E722F721"/>
    <w:multiLevelType w:val="singleLevel"/>
    <w:tmpl w:val="E722F721"/>
    <w:lvl w:ilvl="0" w:tentative="0">
      <w:start w:val="1"/>
      <w:numFmt w:val="decimal"/>
      <w:suff w:val="nothing"/>
      <w:lvlText w:val="%1、"/>
      <w:lvlJc w:val="left"/>
      <w:pPr>
        <w:ind w:left="0" w:firstLine="480"/>
      </w:pPr>
      <w:rPr>
        <w:rFonts w:hint="default"/>
      </w:rPr>
    </w:lvl>
  </w:abstractNum>
  <w:abstractNum w:abstractNumId="5">
    <w:nsid w:val="2F3DE19E"/>
    <w:multiLevelType w:val="singleLevel"/>
    <w:tmpl w:val="2F3DE19E"/>
    <w:lvl w:ilvl="0" w:tentative="0">
      <w:start w:val="1"/>
      <w:numFmt w:val="decimal"/>
      <w:suff w:val="nothing"/>
      <w:lvlText w:val="%1、"/>
      <w:lvlJc w:val="left"/>
      <w:pPr>
        <w:ind w:left="0" w:firstLine="480"/>
      </w:pPr>
      <w:rPr>
        <w:rFont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B09EF"/>
    <w:rsid w:val="00ED6EEA"/>
    <w:rsid w:val="00F1440E"/>
    <w:rsid w:val="00F80477"/>
    <w:rsid w:val="00FD151A"/>
    <w:rsid w:val="01200D8F"/>
    <w:rsid w:val="019D70FB"/>
    <w:rsid w:val="02847444"/>
    <w:rsid w:val="138E2FF9"/>
    <w:rsid w:val="18804AC7"/>
    <w:rsid w:val="19C16A8B"/>
    <w:rsid w:val="1A821920"/>
    <w:rsid w:val="1FF16DE9"/>
    <w:rsid w:val="20876994"/>
    <w:rsid w:val="244807D4"/>
    <w:rsid w:val="25C91C6F"/>
    <w:rsid w:val="29EA6657"/>
    <w:rsid w:val="2EFE6E2D"/>
    <w:rsid w:val="3FCE571F"/>
    <w:rsid w:val="4DCA143E"/>
    <w:rsid w:val="64B302A7"/>
    <w:rsid w:val="658F5E55"/>
    <w:rsid w:val="6B916358"/>
    <w:rsid w:val="71211AEC"/>
    <w:rsid w:val="78EA354B"/>
    <w:rsid w:val="7FEE70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9"/>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9"/>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9"/>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9"/>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9"/>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9"/>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9"/>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semiHidden/>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Plain Text"/>
    <w:basedOn w:val="1"/>
    <w:qFormat/>
    <w:uiPriority w:val="0"/>
    <w:pPr>
      <w:jc w:val="both"/>
    </w:pPr>
    <w:rPr>
      <w:rFonts w:ascii="宋体" w:hAnsi="Courier New"/>
    </w:rPr>
  </w:style>
  <w:style w:type="paragraph" w:styleId="13">
    <w:name w:val="Balloon Text"/>
    <w:basedOn w:val="1"/>
    <w:link w:val="23"/>
    <w:semiHidden/>
    <w:unhideWhenUsed/>
    <w:qFormat/>
    <w:uiPriority w:val="99"/>
    <w:rPr>
      <w:sz w:val="18"/>
      <w:szCs w:val="18"/>
    </w:rPr>
  </w:style>
  <w:style w:type="paragraph" w:styleId="14">
    <w:name w:val="footer"/>
    <w:basedOn w:val="1"/>
    <w:link w:val="21"/>
    <w:unhideWhenUsed/>
    <w:qFormat/>
    <w:uiPriority w:val="99"/>
    <w:pPr>
      <w:tabs>
        <w:tab w:val="center" w:pos="4153"/>
        <w:tab w:val="right" w:pos="8306"/>
      </w:tabs>
      <w:snapToGrid w:val="0"/>
      <w:jc w:val="left"/>
    </w:pPr>
    <w:rPr>
      <w:sz w:val="18"/>
      <w:szCs w:val="18"/>
    </w:rPr>
  </w:style>
  <w:style w:type="paragraph" w:styleId="1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qFormat/>
    <w:uiPriority w:val="11"/>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7">
    <w:name w:val="Title"/>
    <w:qFormat/>
    <w:uiPriority w:val="1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customStyle="1" w:styleId="20">
    <w:name w:val="页眉 字符"/>
    <w:basedOn w:val="19"/>
    <w:link w:val="15"/>
    <w:qFormat/>
    <w:uiPriority w:val="99"/>
    <w:rPr>
      <w:sz w:val="18"/>
      <w:szCs w:val="18"/>
    </w:rPr>
  </w:style>
  <w:style w:type="character" w:customStyle="1" w:styleId="21">
    <w:name w:val="页脚 字符"/>
    <w:basedOn w:val="19"/>
    <w:link w:val="14"/>
    <w:qFormat/>
    <w:uiPriority w:val="99"/>
    <w:rPr>
      <w:sz w:val="18"/>
      <w:szCs w:val="18"/>
    </w:rPr>
  </w:style>
  <w:style w:type="paragraph" w:styleId="22">
    <w:name w:val="List Paragraph"/>
    <w:basedOn w:val="1"/>
    <w:qFormat/>
    <w:uiPriority w:val="34"/>
    <w:pPr>
      <w:ind w:firstLine="420" w:firstLineChars="200"/>
    </w:pPr>
    <w:rPr>
      <w:rFonts w:ascii="Calibri" w:hAnsi="Calibri" w:eastAsia="宋体" w:cs="Times New Roman"/>
      <w:szCs w:val="24"/>
    </w:rPr>
  </w:style>
  <w:style w:type="character" w:customStyle="1" w:styleId="23">
    <w:name w:val="批注框文本 字符"/>
    <w:basedOn w:val="19"/>
    <w:link w:val="13"/>
    <w:semiHidden/>
    <w:qFormat/>
    <w:uiPriority w:val="99"/>
    <w:rPr>
      <w:sz w:val="18"/>
      <w:szCs w:val="18"/>
    </w:rPr>
  </w:style>
  <w:style w:type="character" w:customStyle="1" w:styleId="24">
    <w:name w:val="font21"/>
    <w:basedOn w:val="19"/>
    <w:qFormat/>
    <w:uiPriority w:val="0"/>
    <w:rPr>
      <w:rFonts w:hint="eastAsia" w:ascii="宋体" w:hAnsi="宋体" w:eastAsia="宋体" w:cs="宋体"/>
      <w:color w:val="000000"/>
      <w:sz w:val="18"/>
      <w:szCs w:val="18"/>
      <w:u w:val="none"/>
    </w:rPr>
  </w:style>
  <w:style w:type="character" w:customStyle="1" w:styleId="25">
    <w:name w:val="font3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762</Words>
  <Characters>916</Characters>
  <Lines>2</Lines>
  <Paragraphs>1</Paragraphs>
  <TotalTime>1</TotalTime>
  <ScaleCrop>false</ScaleCrop>
  <LinksUpToDate>false</LinksUpToDate>
  <CharactersWithSpaces>939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2023-02-10T12:17:00Z</dcterms:created>
  <dc:creator>13580549141@163.com</dc:creator>
  <cp:lastModifiedBy>刘鹏飞</cp:lastModifiedBy>
  <cp:lastPrinted>2024-12-30T08:34:00Z</cp:lastPrinted>
  <dcterms:modified xsi:type="dcterms:W3CDTF">2026-06-15T07:03:55Z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2052-12.1.0.26375</vt:lpwstr>
  </property>
  <property fmtid="{D5CDD505-2E9C-101B-9397-08002B2CF9AE}" pid="4" name="ICV">
    <vt:lpwstr>D3DDEAE6897246A385E906AFC9459EA1_13</vt:lpwstr>
  </property>
</Properties>
</file>