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BACC1B">
      <w:pPr>
        <w:pStyle w:val="16"/>
        <w:rPr>
          <w:highlight w:val="none"/>
        </w:rPr>
      </w:pPr>
      <w:r>
        <w:rPr>
          <w:highlight w:val="none"/>
        </w:rPr>
        <w:t>采购需求</w:t>
      </w:r>
    </w:p>
    <w:p w14:paraId="0C7569FF">
      <w:pPr>
        <w:pStyle w:val="2"/>
        <w:rPr>
          <w:highlight w:val="none"/>
        </w:rPr>
      </w:pPr>
      <w:r>
        <w:rPr>
          <w:highlight w:val="none"/>
        </w:rPr>
        <w:t>基本参数：</w:t>
      </w:r>
    </w:p>
    <w:p w14:paraId="20E9CC3F">
      <w:pPr>
        <w:pStyle w:val="11"/>
        <w:numPr>
          <w:ilvl w:val="0"/>
          <w:numId w:val="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 xml:space="preserve">臭氧浓度： 0-80 µg/ml </w:t>
      </w:r>
    </w:p>
    <w:p w14:paraId="5039AB56">
      <w:pPr>
        <w:pStyle w:val="11"/>
        <w:numPr>
          <w:ilvl w:val="0"/>
          <w:numId w:val="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 xml:space="preserve">臭氧浓度误差：≤±4% </w:t>
      </w:r>
    </w:p>
    <w:p w14:paraId="2B0FE9B4">
      <w:pPr>
        <w:pStyle w:val="11"/>
        <w:numPr>
          <w:ilvl w:val="0"/>
          <w:numId w:val="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氧流速： 1L/min</w:t>
      </w:r>
    </w:p>
    <w:p w14:paraId="2C2E124E">
      <w:pPr>
        <w:pStyle w:val="11"/>
        <w:numPr>
          <w:ilvl w:val="0"/>
          <w:numId w:val="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内部压力： 600-1200hpa</w:t>
      </w:r>
    </w:p>
    <w:p w14:paraId="28407432">
      <w:pPr>
        <w:pStyle w:val="11"/>
        <w:numPr>
          <w:ilvl w:val="0"/>
          <w:numId w:val="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湿度：小于 90 % , 不凝固</w:t>
      </w:r>
    </w:p>
    <w:p w14:paraId="1C69AA7F">
      <w:pPr>
        <w:pStyle w:val="11"/>
        <w:numPr>
          <w:ilvl w:val="0"/>
          <w:numId w:val="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 xml:space="preserve">储存温度： 5℃ 到 40 °C </w:t>
      </w:r>
    </w:p>
    <w:p w14:paraId="2058F129">
      <w:pPr>
        <w:pStyle w:val="11"/>
        <w:numPr>
          <w:ilvl w:val="0"/>
          <w:numId w:val="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臭氧取气方式：</w:t>
      </w:r>
    </w:p>
    <w:p w14:paraId="70EA991F">
      <w:pPr>
        <w:pStyle w:val="11"/>
        <w:numPr>
          <w:ilvl w:val="0"/>
          <w:numId w:val="2"/>
        </w:numPr>
        <w:ind w:left="0" w:leftChars="0" w:firstLine="480" w:firstLineChars="0"/>
        <w:rPr>
          <w:rFonts w:ascii="Times New Roman" w:hAnsi="Times New Roman" w:eastAsia="宋体" w:cs="Times New Roman"/>
          <w:b w:val="0"/>
          <w:sz w:val="24"/>
          <w:szCs w:val="24"/>
        </w:rPr>
      </w:pPr>
      <w:r>
        <w:rPr>
          <w:rFonts w:ascii="Times New Roman" w:hAnsi="Times New Roman" w:eastAsia="宋体" w:cs="Times New Roman"/>
          <w:sz w:val="24"/>
          <w:szCs w:val="24"/>
        </w:rPr>
        <w:t>图标显示注射取气模式</w:t>
      </w:r>
    </w:p>
    <w:p w14:paraId="05D174CD">
      <w:pPr>
        <w:pStyle w:val="11"/>
        <w:numPr>
          <w:ilvl w:val="0"/>
          <w:numId w:val="2"/>
        </w:numPr>
        <w:ind w:left="0" w:leftChars="0" w:firstLine="480" w:firstLineChars="0"/>
        <w:rPr>
          <w:rFonts w:ascii="Times New Roman" w:hAnsi="Times New Roman" w:eastAsia="宋体" w:cs="Times New Roman"/>
          <w:b w:val="0"/>
          <w:sz w:val="24"/>
          <w:szCs w:val="24"/>
        </w:rPr>
      </w:pPr>
      <w:r>
        <w:rPr>
          <w:rFonts w:ascii="Times New Roman" w:hAnsi="Times New Roman" w:eastAsia="宋体" w:cs="Times New Roman"/>
          <w:sz w:val="24"/>
          <w:szCs w:val="24"/>
        </w:rPr>
        <w:t>图标显示外用套袋模式</w:t>
      </w:r>
    </w:p>
    <w:p w14:paraId="3A5F4CC1">
      <w:pPr>
        <w:pStyle w:val="11"/>
        <w:rPr>
          <w:rFonts w:ascii="Times New Roman" w:hAnsi="Times New Roman" w:eastAsia="宋体" w:cs="Times New Roman"/>
          <w:sz w:val="24"/>
          <w:szCs w:val="24"/>
        </w:rPr>
      </w:pPr>
      <w:r>
        <w:rPr>
          <w:rFonts w:ascii="Times New Roman" w:hAnsi="Times New Roman" w:eastAsia="宋体" w:cs="Times New Roman"/>
          <w:sz w:val="24"/>
          <w:szCs w:val="24"/>
        </w:rPr>
        <w:t>C.图标显示制备臭氧水模式</w:t>
      </w:r>
    </w:p>
    <w:p w14:paraId="7B7A38EA">
      <w:pPr>
        <w:pStyle w:val="11"/>
        <w:numPr>
          <w:ilvl w:val="0"/>
          <w:numId w:val="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具有臭氧残气回收净化装置（以注册证为准）</w:t>
      </w:r>
    </w:p>
    <w:p w14:paraId="1DAFAC48">
      <w:pPr>
        <w:pStyle w:val="11"/>
        <w:numPr>
          <w:ilvl w:val="0"/>
          <w:numId w:val="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产品性能结构组成须包括压力校正器，以保证治疗浓度的准确性（以注册证为准）</w:t>
      </w:r>
    </w:p>
    <w:p w14:paraId="5C3D307C">
      <w:pPr>
        <w:pStyle w:val="11"/>
        <w:numPr>
          <w:ilvl w:val="0"/>
          <w:numId w:val="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具有气路压力校正及控制装置，本装置不能用气路压力流量校正及控制装置代替（以注册证为准）</w:t>
      </w:r>
    </w:p>
    <w:p w14:paraId="1959FBC7">
      <w:pPr>
        <w:pStyle w:val="11"/>
        <w:numPr>
          <w:ilvl w:val="0"/>
          <w:numId w:val="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具有电路及稳压装置，不需外配置稳压器</w:t>
      </w:r>
    </w:p>
    <w:p w14:paraId="1E5B6F3A">
      <w:pPr>
        <w:pStyle w:val="11"/>
        <w:numPr>
          <w:ilvl w:val="0"/>
          <w:numId w:val="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该设备必须具有臭氧化水装置功能（需提供证明材料）</w:t>
      </w:r>
    </w:p>
    <w:p w14:paraId="2632542A">
      <w:pPr>
        <w:pStyle w:val="11"/>
        <w:numPr>
          <w:ilvl w:val="0"/>
          <w:numId w:val="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设备具有声光提示或警示装置构成</w:t>
      </w:r>
    </w:p>
    <w:p w14:paraId="1A3C0BA8">
      <w:pPr>
        <w:pStyle w:val="11"/>
        <w:numPr>
          <w:ilvl w:val="0"/>
          <w:numId w:val="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国家食品药品监督管理局颁发的注册证在有效期内</w:t>
      </w:r>
    </w:p>
    <w:p w14:paraId="7D669846">
      <w:pPr>
        <w:pStyle w:val="11"/>
        <w:numPr>
          <w:ilvl w:val="0"/>
          <w:numId w:val="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 xml:space="preserve">仪器正常工作后，空气中臭氧浓度不能超过0.05mg/m³，小于国家标准3倍，避免对医务人员造成伤害。  </w:t>
      </w:r>
    </w:p>
    <w:p w14:paraId="0DB3BC68">
      <w:pPr>
        <w:pStyle w:val="11"/>
        <w:numPr>
          <w:ilvl w:val="0"/>
          <w:numId w:val="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产品通过CE认证</w:t>
      </w:r>
    </w:p>
    <w:p w14:paraId="1304732A">
      <w:pPr>
        <w:pStyle w:val="11"/>
        <w:numPr>
          <w:ilvl w:val="0"/>
          <w:numId w:val="1"/>
        </w:numPr>
        <w:topLinePunct w:val="0"/>
        <w:ind w:left="0" w:leftChars="0" w:firstLine="480" w:firstLineChars="0"/>
        <w:rPr>
          <w:rFonts w:hint="eastAsia" w:ascii="宋体" w:hAnsi="宋体" w:eastAsia="宋体" w:cs="宋体"/>
          <w:b w:val="0"/>
          <w:sz w:val="24"/>
          <w:szCs w:val="24"/>
        </w:rPr>
      </w:pPr>
      <w:r>
        <w:rPr>
          <w:rFonts w:ascii="Times New Roman" w:hAnsi="Times New Roman" w:eastAsia="宋体" w:cs="Times New Roman"/>
          <w:sz w:val="24"/>
          <w:szCs w:val="24"/>
        </w:rPr>
        <w:t>需提供产品检验的完整版检验报告</w:t>
      </w:r>
    </w:p>
    <w:p w14:paraId="7A7B6523">
      <w:pPr>
        <w:pStyle w:val="11"/>
        <w:rPr>
          <w:rFonts w:hint="eastAsia" w:ascii="宋体" w:hAnsi="宋体" w:eastAsia="宋体" w:cs="宋体"/>
          <w:b/>
          <w:kern w:val="0"/>
          <w:sz w:val="28"/>
          <w:szCs w:val="24"/>
          <w:highlight w:val="none"/>
          <w:lang w:val="en-US" w:eastAsia="zh-CN"/>
        </w:rPr>
      </w:pPr>
      <w:r>
        <w:rPr>
          <w:rFonts w:ascii="Times New Roman" w:hAnsi="Times New Roman" w:eastAsia="宋体" w:cs="Times New Roman"/>
          <w:sz w:val="24"/>
          <w:szCs w:val="24"/>
        </w:rPr>
        <w:t>19、需通过国家权威机构出具的臭氧中氧化亚氮含量检测报告</w:t>
      </w:r>
      <w:r>
        <w:rPr>
          <w:rFonts w:hint="eastAsia" w:cs="Times New Roman"/>
          <w:sz w:val="24"/>
          <w:szCs w:val="24"/>
          <w:lang w:val="en-US" w:eastAsia="zh-CN"/>
        </w:rPr>
        <w:t>.</w:t>
      </w:r>
    </w:p>
    <w:p w14:paraId="7F747BE2">
      <w:pPr>
        <w:pStyle w:val="2"/>
        <w:rPr>
          <w:highlight w:val="none"/>
        </w:rPr>
      </w:pPr>
      <w:r>
        <w:rPr>
          <w:highlight w:val="none"/>
        </w:rPr>
        <w:t>配置清单：</w:t>
      </w:r>
    </w:p>
    <w:tbl>
      <w:tblPr>
        <w:tblStyle w:val="17"/>
        <w:tblW w:w="7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93"/>
        <w:gridCol w:w="1363"/>
      </w:tblGrid>
      <w:tr w14:paraId="2F956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noWrap w:val="0"/>
            <w:vAlign w:val="center"/>
          </w:tcPr>
          <w:p w14:paraId="445BB83E">
            <w:pPr>
              <w:snapToGrid w:val="0"/>
              <w:ind w:left="0" w:leftChars="0" w:right="0" w:rightChars="0" w:firstLine="0" w:firstLineChars="0"/>
              <w:jc w:val="center"/>
              <w:rPr>
                <w:rFonts w:hint="eastAsia"/>
                <w:b/>
                <w:sz w:val="28"/>
                <w:szCs w:val="28"/>
              </w:rPr>
            </w:pPr>
            <w:r>
              <w:rPr>
                <w:rFonts w:hint="eastAsia"/>
                <w:b/>
                <w:sz w:val="28"/>
                <w:szCs w:val="28"/>
              </w:rPr>
              <w:t>品名</w:t>
            </w:r>
          </w:p>
        </w:tc>
        <w:tc>
          <w:tcPr>
            <w:tcW w:w="1363" w:type="dxa"/>
            <w:noWrap w:val="0"/>
            <w:vAlign w:val="center"/>
          </w:tcPr>
          <w:p w14:paraId="1964909F">
            <w:pPr>
              <w:snapToGrid w:val="0"/>
              <w:ind w:left="0" w:leftChars="0" w:right="0" w:rightChars="0" w:firstLine="0" w:firstLineChars="0"/>
              <w:jc w:val="center"/>
              <w:rPr>
                <w:rFonts w:hint="eastAsia"/>
                <w:b/>
                <w:sz w:val="28"/>
                <w:szCs w:val="28"/>
              </w:rPr>
            </w:pPr>
            <w:r>
              <w:rPr>
                <w:rFonts w:hint="eastAsia"/>
                <w:b/>
                <w:sz w:val="28"/>
                <w:szCs w:val="28"/>
              </w:rPr>
              <w:t>数量</w:t>
            </w:r>
          </w:p>
        </w:tc>
      </w:tr>
      <w:tr w14:paraId="01A4A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1A4BD18E">
            <w:pPr>
              <w:snapToGrid w:val="0"/>
              <w:ind w:left="0" w:leftChars="0" w:right="0" w:rightChars="0" w:firstLine="0" w:firstLineChars="0"/>
              <w:jc w:val="left"/>
              <w:rPr>
                <w:rFonts w:hint="eastAsia" w:ascii="等线" w:eastAsia="等线"/>
                <w:sz w:val="28"/>
                <w:szCs w:val="28"/>
              </w:rPr>
            </w:pPr>
            <w:r>
              <w:rPr>
                <w:rFonts w:hint="eastAsia" w:ascii="等线" w:eastAsia="等线"/>
                <w:sz w:val="28"/>
                <w:szCs w:val="28"/>
              </w:rPr>
              <w:t>医用臭氧治疗仪</w:t>
            </w:r>
          </w:p>
        </w:tc>
        <w:tc>
          <w:tcPr>
            <w:tcW w:w="1363" w:type="dxa"/>
            <w:noWrap w:val="0"/>
            <w:vAlign w:val="center"/>
          </w:tcPr>
          <w:p w14:paraId="1FB4D937">
            <w:pPr>
              <w:snapToGrid w:val="0"/>
              <w:ind w:left="0" w:leftChars="0" w:right="0" w:rightChars="0" w:firstLine="0" w:firstLineChars="0"/>
              <w:jc w:val="center"/>
              <w:rPr>
                <w:rFonts w:hint="eastAsia" w:ascii="等线" w:eastAsia="等线"/>
                <w:sz w:val="28"/>
                <w:szCs w:val="28"/>
              </w:rPr>
            </w:pPr>
            <w:r>
              <w:rPr>
                <w:rFonts w:hint="eastAsia" w:ascii="等线" w:eastAsia="等线"/>
                <w:sz w:val="28"/>
                <w:szCs w:val="28"/>
              </w:rPr>
              <w:t>1</w:t>
            </w:r>
          </w:p>
        </w:tc>
      </w:tr>
      <w:tr w14:paraId="7815E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19F6D57D">
            <w:pPr>
              <w:snapToGrid w:val="0"/>
              <w:ind w:left="0" w:leftChars="0" w:right="0" w:rightChars="0" w:firstLine="0" w:firstLineChars="0"/>
              <w:jc w:val="left"/>
              <w:rPr>
                <w:rFonts w:hint="eastAsia" w:ascii="等线" w:eastAsia="等线"/>
                <w:sz w:val="28"/>
                <w:szCs w:val="28"/>
              </w:rPr>
            </w:pPr>
            <w:r>
              <w:rPr>
                <w:rFonts w:hint="eastAsia" w:ascii="等线" w:eastAsia="等线"/>
                <w:sz w:val="28"/>
                <w:szCs w:val="28"/>
              </w:rPr>
              <w:t>主电线</w:t>
            </w:r>
          </w:p>
        </w:tc>
        <w:tc>
          <w:tcPr>
            <w:tcW w:w="1363" w:type="dxa"/>
            <w:noWrap w:val="0"/>
            <w:vAlign w:val="center"/>
          </w:tcPr>
          <w:p w14:paraId="0C9659A5">
            <w:pPr>
              <w:snapToGrid w:val="0"/>
              <w:ind w:left="0" w:leftChars="0" w:right="0" w:rightChars="0" w:firstLine="0" w:firstLineChars="0"/>
              <w:jc w:val="center"/>
              <w:rPr>
                <w:rFonts w:hint="eastAsia" w:ascii="等线" w:eastAsia="等线"/>
                <w:sz w:val="28"/>
                <w:szCs w:val="28"/>
              </w:rPr>
            </w:pPr>
            <w:r>
              <w:rPr>
                <w:rFonts w:hint="eastAsia" w:ascii="等线" w:eastAsia="等线"/>
                <w:sz w:val="28"/>
                <w:szCs w:val="28"/>
              </w:rPr>
              <w:t>1</w:t>
            </w:r>
          </w:p>
        </w:tc>
      </w:tr>
      <w:tr w14:paraId="1B903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349BD263">
            <w:pPr>
              <w:snapToGrid w:val="0"/>
              <w:ind w:left="0" w:leftChars="0" w:right="0" w:rightChars="0" w:firstLine="0" w:firstLineChars="0"/>
              <w:jc w:val="left"/>
              <w:rPr>
                <w:rFonts w:hint="eastAsia" w:ascii="等线" w:eastAsia="等线"/>
                <w:sz w:val="28"/>
                <w:szCs w:val="28"/>
              </w:rPr>
            </w:pPr>
            <w:r>
              <w:rPr>
                <w:rFonts w:hint="eastAsia" w:ascii="等线" w:eastAsia="等线"/>
                <w:sz w:val="28"/>
                <w:szCs w:val="28"/>
              </w:rPr>
              <w:t>使用手册</w:t>
            </w:r>
          </w:p>
        </w:tc>
        <w:tc>
          <w:tcPr>
            <w:tcW w:w="1363" w:type="dxa"/>
            <w:noWrap w:val="0"/>
            <w:vAlign w:val="center"/>
          </w:tcPr>
          <w:p w14:paraId="65033670">
            <w:pPr>
              <w:snapToGrid w:val="0"/>
              <w:ind w:left="0" w:leftChars="0" w:right="0" w:rightChars="0" w:firstLine="0" w:firstLineChars="0"/>
              <w:jc w:val="center"/>
              <w:rPr>
                <w:rFonts w:hint="eastAsia" w:ascii="等线" w:eastAsia="等线"/>
                <w:sz w:val="28"/>
                <w:szCs w:val="28"/>
              </w:rPr>
            </w:pPr>
            <w:r>
              <w:rPr>
                <w:rFonts w:hint="eastAsia" w:ascii="等线" w:eastAsia="等线"/>
                <w:sz w:val="28"/>
                <w:szCs w:val="28"/>
              </w:rPr>
              <w:t>1</w:t>
            </w:r>
          </w:p>
        </w:tc>
      </w:tr>
      <w:tr w14:paraId="6B9E2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77643F84">
            <w:pPr>
              <w:snapToGrid w:val="0"/>
              <w:ind w:left="0" w:leftChars="0" w:right="0" w:rightChars="0" w:firstLine="0" w:firstLineChars="0"/>
              <w:jc w:val="left"/>
              <w:rPr>
                <w:rFonts w:hint="eastAsia" w:ascii="等线" w:eastAsia="等线"/>
                <w:sz w:val="28"/>
                <w:szCs w:val="28"/>
              </w:rPr>
            </w:pPr>
            <w:r>
              <w:rPr>
                <w:rFonts w:hint="eastAsia" w:ascii="等线" w:eastAsia="等线"/>
                <w:sz w:val="28"/>
                <w:szCs w:val="28"/>
              </w:rPr>
              <w:t>氧气连接管</w:t>
            </w:r>
          </w:p>
        </w:tc>
        <w:tc>
          <w:tcPr>
            <w:tcW w:w="1363" w:type="dxa"/>
            <w:noWrap w:val="0"/>
            <w:vAlign w:val="center"/>
          </w:tcPr>
          <w:p w14:paraId="27BFEE19">
            <w:pPr>
              <w:snapToGrid w:val="0"/>
              <w:ind w:left="0" w:leftChars="0" w:right="0" w:rightChars="0" w:firstLine="0" w:firstLineChars="0"/>
              <w:jc w:val="center"/>
              <w:rPr>
                <w:rFonts w:hint="eastAsia" w:ascii="等线" w:eastAsia="等线"/>
                <w:sz w:val="28"/>
                <w:szCs w:val="28"/>
              </w:rPr>
            </w:pPr>
            <w:r>
              <w:rPr>
                <w:rFonts w:hint="eastAsia" w:ascii="等线" w:eastAsia="等线"/>
                <w:sz w:val="28"/>
                <w:szCs w:val="28"/>
              </w:rPr>
              <w:t>1</w:t>
            </w:r>
          </w:p>
        </w:tc>
      </w:tr>
      <w:tr w14:paraId="77152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138E66AA">
            <w:pPr>
              <w:snapToGrid w:val="0"/>
              <w:ind w:left="0" w:leftChars="0" w:right="0" w:rightChars="0" w:firstLine="0" w:firstLineChars="0"/>
              <w:jc w:val="left"/>
              <w:rPr>
                <w:rFonts w:hint="eastAsia" w:ascii="等线" w:eastAsia="等线"/>
                <w:sz w:val="28"/>
                <w:szCs w:val="28"/>
              </w:rPr>
            </w:pPr>
            <w:r>
              <w:rPr>
                <w:rFonts w:hint="eastAsia" w:ascii="等线" w:eastAsia="等线"/>
                <w:sz w:val="28"/>
                <w:szCs w:val="28"/>
              </w:rPr>
              <w:t>氧气减压器</w:t>
            </w:r>
          </w:p>
        </w:tc>
        <w:tc>
          <w:tcPr>
            <w:tcW w:w="1363" w:type="dxa"/>
            <w:noWrap w:val="0"/>
            <w:vAlign w:val="center"/>
          </w:tcPr>
          <w:p w14:paraId="7FEFD43B">
            <w:pPr>
              <w:snapToGrid w:val="0"/>
              <w:ind w:left="0" w:leftChars="0" w:right="0" w:rightChars="0" w:firstLine="0" w:firstLineChars="0"/>
              <w:jc w:val="center"/>
              <w:rPr>
                <w:rFonts w:hint="eastAsia" w:ascii="等线" w:eastAsia="等线"/>
                <w:sz w:val="28"/>
                <w:szCs w:val="28"/>
              </w:rPr>
            </w:pPr>
            <w:r>
              <w:rPr>
                <w:rFonts w:hint="eastAsia" w:ascii="等线" w:eastAsia="等线"/>
                <w:sz w:val="28"/>
                <w:szCs w:val="28"/>
              </w:rPr>
              <w:t>1</w:t>
            </w:r>
          </w:p>
        </w:tc>
      </w:tr>
      <w:tr w14:paraId="6D081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noWrap w:val="0"/>
            <w:vAlign w:val="center"/>
          </w:tcPr>
          <w:p w14:paraId="7AAFC32A">
            <w:pPr>
              <w:snapToGrid w:val="0"/>
              <w:ind w:left="0" w:leftChars="0" w:right="0" w:rightChars="0" w:firstLine="0" w:firstLineChars="0"/>
              <w:jc w:val="left"/>
              <w:rPr>
                <w:rFonts w:hint="eastAsia" w:ascii="等线" w:hAnsi="Times New Roman" w:eastAsia="等线" w:cs="Times New Roman"/>
                <w:kern w:val="2"/>
                <w:sz w:val="28"/>
                <w:szCs w:val="28"/>
                <w:lang w:val="en-US" w:eastAsia="zh-CN" w:bidi="ar-SA"/>
              </w:rPr>
            </w:pPr>
            <w:r>
              <w:rPr>
                <w:rFonts w:hint="eastAsia" w:ascii="等线" w:eastAsia="等线"/>
                <w:sz w:val="28"/>
                <w:szCs w:val="28"/>
              </w:rPr>
              <w:t>保险丝</w:t>
            </w:r>
          </w:p>
        </w:tc>
        <w:tc>
          <w:tcPr>
            <w:tcW w:w="1363" w:type="dxa"/>
            <w:shd w:val="clear" w:color="auto" w:fill="auto"/>
            <w:noWrap w:val="0"/>
            <w:vAlign w:val="center"/>
          </w:tcPr>
          <w:p w14:paraId="607F3C9E">
            <w:pPr>
              <w:snapToGrid w:val="0"/>
              <w:ind w:left="0" w:leftChars="0" w:right="0" w:rightChars="0" w:firstLine="0" w:firstLineChars="0"/>
              <w:jc w:val="center"/>
              <w:rPr>
                <w:rFonts w:hint="eastAsia" w:ascii="等线" w:hAnsi="Times New Roman" w:eastAsia="等线" w:cs="Times New Roman"/>
                <w:kern w:val="2"/>
                <w:sz w:val="28"/>
                <w:szCs w:val="28"/>
                <w:lang w:val="en-US" w:eastAsia="zh-CN" w:bidi="ar-SA"/>
              </w:rPr>
            </w:pPr>
            <w:r>
              <w:rPr>
                <w:rFonts w:hint="eastAsia" w:ascii="等线" w:eastAsia="等线"/>
                <w:sz w:val="28"/>
                <w:szCs w:val="28"/>
              </w:rPr>
              <w:t>10</w:t>
            </w:r>
          </w:p>
        </w:tc>
      </w:tr>
      <w:tr w14:paraId="1041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36EBF327">
            <w:pPr>
              <w:snapToGrid w:val="0"/>
              <w:ind w:left="0" w:leftChars="0" w:right="0" w:rightChars="0" w:firstLine="0" w:firstLineChars="0"/>
              <w:jc w:val="left"/>
              <w:rPr>
                <w:rFonts w:hint="eastAsia" w:ascii="等线" w:eastAsia="等线"/>
                <w:sz w:val="28"/>
                <w:szCs w:val="28"/>
                <w:lang w:val="en-US" w:eastAsia="zh-CN"/>
              </w:rPr>
            </w:pPr>
            <w:r>
              <w:rPr>
                <w:rFonts w:hint="eastAsia" w:ascii="等线" w:eastAsia="等线"/>
                <w:sz w:val="28"/>
                <w:szCs w:val="28"/>
                <w:lang w:eastAsia="zh-CN"/>
              </w:rPr>
              <w:t>一次性使用</w:t>
            </w:r>
            <w:r>
              <w:rPr>
                <w:rFonts w:hint="eastAsia" w:ascii="等线" w:eastAsia="等线"/>
                <w:sz w:val="28"/>
                <w:szCs w:val="28"/>
                <w:lang w:val="en-US" w:eastAsia="zh-CN"/>
              </w:rPr>
              <w:t xml:space="preserve">输血器 </w:t>
            </w:r>
          </w:p>
        </w:tc>
        <w:tc>
          <w:tcPr>
            <w:tcW w:w="1363" w:type="dxa"/>
            <w:noWrap w:val="0"/>
            <w:vAlign w:val="center"/>
          </w:tcPr>
          <w:p w14:paraId="5ED4D59D">
            <w:pPr>
              <w:snapToGrid w:val="0"/>
              <w:ind w:left="0" w:leftChars="0" w:right="0" w:rightChars="0" w:firstLine="0" w:firstLineChars="0"/>
              <w:jc w:val="center"/>
              <w:rPr>
                <w:rFonts w:hint="default" w:ascii="等线" w:eastAsia="等线"/>
                <w:sz w:val="28"/>
                <w:szCs w:val="28"/>
                <w:lang w:val="en-US"/>
              </w:rPr>
            </w:pPr>
            <w:r>
              <w:rPr>
                <w:rFonts w:hint="eastAsia" w:ascii="等线" w:eastAsia="等线"/>
                <w:sz w:val="28"/>
                <w:szCs w:val="28"/>
              </w:rPr>
              <w:t>10</w:t>
            </w:r>
          </w:p>
        </w:tc>
      </w:tr>
      <w:tr w14:paraId="2792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3F8F6E4C">
            <w:pPr>
              <w:snapToGrid w:val="0"/>
              <w:ind w:left="0" w:leftChars="0" w:right="0" w:rightChars="0" w:firstLine="0" w:firstLineChars="0"/>
              <w:jc w:val="left"/>
              <w:rPr>
                <w:rFonts w:hint="eastAsia" w:ascii="等线" w:eastAsia="等线"/>
                <w:sz w:val="28"/>
                <w:szCs w:val="28"/>
                <w:lang w:val="en-US" w:eastAsia="zh-CN"/>
              </w:rPr>
            </w:pPr>
            <w:r>
              <w:rPr>
                <w:rFonts w:hint="eastAsia" w:ascii="等线" w:eastAsia="等线"/>
                <w:sz w:val="28"/>
                <w:szCs w:val="28"/>
                <w:lang w:val="en-US" w:eastAsia="zh-CN"/>
              </w:rPr>
              <w:t>一次性使用塑料血袋</w:t>
            </w:r>
          </w:p>
        </w:tc>
        <w:tc>
          <w:tcPr>
            <w:tcW w:w="1363" w:type="dxa"/>
            <w:noWrap w:val="0"/>
            <w:vAlign w:val="center"/>
          </w:tcPr>
          <w:p w14:paraId="72A295C4">
            <w:pPr>
              <w:snapToGrid w:val="0"/>
              <w:ind w:left="0" w:leftChars="0" w:right="0" w:rightChars="0" w:firstLine="0" w:firstLineChars="0"/>
              <w:jc w:val="center"/>
              <w:rPr>
                <w:rFonts w:hint="default" w:ascii="等线" w:eastAsia="等线"/>
                <w:sz w:val="28"/>
                <w:szCs w:val="28"/>
                <w:lang w:val="en-US"/>
              </w:rPr>
            </w:pPr>
            <w:r>
              <w:rPr>
                <w:rFonts w:hint="eastAsia" w:ascii="等线" w:eastAsia="等线"/>
                <w:sz w:val="28"/>
                <w:szCs w:val="28"/>
                <w:lang w:val="en-US" w:eastAsia="zh-CN"/>
              </w:rPr>
              <w:t>10</w:t>
            </w:r>
          </w:p>
        </w:tc>
      </w:tr>
      <w:tr w14:paraId="35FE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0BAADAB0">
            <w:pPr>
              <w:snapToGrid w:val="0"/>
              <w:ind w:left="0" w:leftChars="0" w:right="0" w:rightChars="0" w:firstLine="0" w:firstLineChars="0"/>
              <w:jc w:val="left"/>
              <w:rPr>
                <w:rFonts w:hint="eastAsia" w:ascii="等线" w:eastAsia="等线"/>
                <w:sz w:val="28"/>
                <w:szCs w:val="28"/>
                <w:lang w:val="en-US" w:eastAsia="zh-CN"/>
              </w:rPr>
            </w:pPr>
            <w:r>
              <w:rPr>
                <w:rFonts w:hint="eastAsia" w:ascii="等线" w:eastAsia="等线"/>
                <w:sz w:val="28"/>
                <w:szCs w:val="28"/>
                <w:lang w:val="en-US" w:eastAsia="zh-CN"/>
              </w:rPr>
              <w:t>一次性使用配药用注射器</w:t>
            </w:r>
          </w:p>
        </w:tc>
        <w:tc>
          <w:tcPr>
            <w:tcW w:w="1363" w:type="dxa"/>
            <w:noWrap w:val="0"/>
            <w:vAlign w:val="center"/>
          </w:tcPr>
          <w:p w14:paraId="57F8F92A">
            <w:pPr>
              <w:tabs>
                <w:tab w:val="left" w:pos="203"/>
              </w:tabs>
              <w:snapToGrid w:val="0"/>
              <w:ind w:left="0" w:leftChars="0" w:right="0" w:rightChars="0" w:firstLine="0" w:firstLineChars="0"/>
              <w:jc w:val="center"/>
              <w:rPr>
                <w:rFonts w:hint="default" w:ascii="等线" w:eastAsia="等线"/>
                <w:sz w:val="28"/>
                <w:szCs w:val="28"/>
                <w:lang w:val="en-US" w:eastAsia="zh-CN"/>
              </w:rPr>
            </w:pPr>
            <w:r>
              <w:rPr>
                <w:rFonts w:hint="eastAsia" w:ascii="等线" w:eastAsia="等线"/>
                <w:sz w:val="28"/>
                <w:szCs w:val="28"/>
                <w:lang w:val="en-US" w:eastAsia="zh-CN"/>
              </w:rPr>
              <w:t>10</w:t>
            </w:r>
          </w:p>
        </w:tc>
      </w:tr>
      <w:tr w14:paraId="6CC1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793" w:type="dxa"/>
            <w:noWrap w:val="0"/>
            <w:vAlign w:val="center"/>
          </w:tcPr>
          <w:p w14:paraId="621D94DC">
            <w:pPr>
              <w:snapToGrid w:val="0"/>
              <w:ind w:left="0" w:leftChars="0" w:right="0" w:rightChars="0" w:firstLine="0" w:firstLineChars="0"/>
              <w:jc w:val="left"/>
              <w:rPr>
                <w:rFonts w:hint="eastAsia" w:ascii="等线" w:eastAsia="等线"/>
                <w:sz w:val="28"/>
                <w:szCs w:val="28"/>
                <w:lang w:val="en-US" w:eastAsia="zh-CN"/>
              </w:rPr>
            </w:pPr>
            <w:r>
              <w:rPr>
                <w:rFonts w:hint="eastAsia" w:ascii="等线" w:eastAsia="等线"/>
                <w:sz w:val="28"/>
                <w:szCs w:val="28"/>
                <w:lang w:eastAsia="zh-CN"/>
              </w:rPr>
              <w:t>一次性使用空气过滤</w:t>
            </w:r>
            <w:r>
              <w:rPr>
                <w:rFonts w:hint="eastAsia" w:ascii="等线" w:eastAsia="等线"/>
                <w:sz w:val="28"/>
                <w:szCs w:val="28"/>
              </w:rPr>
              <w:t>器</w:t>
            </w:r>
          </w:p>
        </w:tc>
        <w:tc>
          <w:tcPr>
            <w:tcW w:w="1363" w:type="dxa"/>
            <w:noWrap w:val="0"/>
            <w:vAlign w:val="center"/>
          </w:tcPr>
          <w:p w14:paraId="283A0C66">
            <w:pPr>
              <w:snapToGrid w:val="0"/>
              <w:ind w:left="0" w:leftChars="0" w:right="0" w:rightChars="0" w:firstLine="0" w:firstLineChars="0"/>
              <w:jc w:val="center"/>
              <w:rPr>
                <w:rFonts w:hint="default" w:ascii="等线" w:eastAsia="等线"/>
                <w:sz w:val="28"/>
                <w:szCs w:val="28"/>
                <w:lang w:val="en-US" w:eastAsia="zh-CN"/>
              </w:rPr>
            </w:pPr>
            <w:r>
              <w:rPr>
                <w:rFonts w:hint="eastAsia" w:ascii="等线" w:eastAsia="等线"/>
                <w:sz w:val="28"/>
                <w:szCs w:val="28"/>
                <w:lang w:val="en-US" w:eastAsia="zh-CN"/>
              </w:rPr>
              <w:t>10</w:t>
            </w:r>
          </w:p>
        </w:tc>
      </w:tr>
    </w:tbl>
    <w:p w14:paraId="302C2D3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imes New Roman" w:hAnsi="Times New Roman" w:eastAsia="宋体" w:cs="Times New Roman"/>
          <w:b w:val="0"/>
          <w:bCs w:val="0"/>
          <w:color w:val="000000"/>
          <w:sz w:val="24"/>
          <w:szCs w:val="24"/>
          <w:highlight w:val="none"/>
          <w:lang w:val="en-US" w:eastAsia="zh-CN"/>
        </w:rPr>
      </w:pPr>
    </w:p>
    <w:p w14:paraId="6B323696">
      <w:pPr>
        <w:pStyle w:val="2"/>
        <w:rPr>
          <w:highlight w:val="none"/>
        </w:rPr>
      </w:pPr>
      <w:r>
        <w:rPr>
          <w:highlight w:val="none"/>
        </w:rPr>
        <w:t>服务要求</w:t>
      </w:r>
    </w:p>
    <w:p w14:paraId="006508E4">
      <w:pPr>
        <w:pStyle w:val="11"/>
        <w:numPr>
          <w:ilvl w:val="0"/>
          <w:numId w:val="3"/>
        </w:numPr>
        <w:topLinePunct w:val="0"/>
        <w:ind w:left="0" w:leftChars="0" w:firstLine="480" w:firstLineChars="0"/>
        <w:rPr>
          <w:rFonts w:hint="eastAsia" w:ascii="宋体" w:hAnsi="宋体" w:eastAsia="宋体" w:cs="宋体"/>
          <w:b w:val="0"/>
          <w:color w:val="000000"/>
          <w:sz w:val="24"/>
          <w:szCs w:val="24"/>
          <w:highlight w:val="none"/>
        </w:rPr>
      </w:pPr>
      <w:r>
        <w:rPr>
          <w:rFonts w:ascii="Times New Roman" w:hAnsi="Times New Roman" w:eastAsia="宋体" w:cs="Times New Roman"/>
          <w:color w:val="000000"/>
          <w:sz w:val="24"/>
          <w:szCs w:val="24"/>
          <w:highlight w:val="none"/>
        </w:rPr>
        <w:t>提供详细的产品医疗器械注册证、使用说明书和操作指南。</w:t>
      </w:r>
    </w:p>
    <w:p w14:paraId="3F12B1A0">
      <w:pPr>
        <w:pStyle w:val="11"/>
        <w:numPr>
          <w:ilvl w:val="0"/>
          <w:numId w:val="3"/>
        </w:numPr>
        <w:topLinePunct w:val="0"/>
        <w:ind w:left="0" w:leftChars="0" w:firstLine="480" w:firstLineChars="0"/>
        <w:rPr>
          <w:rFonts w:hint="eastAsia" w:ascii="宋体" w:hAnsi="宋体" w:eastAsia="宋体" w:cs="宋体"/>
          <w:b w:val="0"/>
          <w:color w:val="000000"/>
          <w:sz w:val="24"/>
          <w:szCs w:val="24"/>
          <w:highlight w:val="none"/>
        </w:rPr>
      </w:pPr>
      <w:r>
        <w:rPr>
          <w:rFonts w:ascii="Times New Roman" w:hAnsi="Times New Roman" w:eastAsia="宋体" w:cs="Times New Roman"/>
          <w:color w:val="000000"/>
          <w:sz w:val="24"/>
          <w:szCs w:val="24"/>
          <w:highlight w:val="none"/>
        </w:rPr>
        <w:t>提供安装和调试服务，确保产品正确安装并能正常使用。</w:t>
      </w:r>
    </w:p>
    <w:p w14:paraId="4B3513B4">
      <w:pPr>
        <w:pStyle w:val="11"/>
        <w:numPr>
          <w:ilvl w:val="0"/>
          <w:numId w:val="3"/>
        </w:numPr>
        <w:topLinePunct w:val="0"/>
        <w:ind w:left="0" w:leftChars="0" w:firstLine="480" w:firstLineChars="0"/>
        <w:rPr>
          <w:rFonts w:hint="eastAsia" w:ascii="宋体" w:hAnsi="宋体" w:eastAsia="宋体" w:cs="宋体"/>
          <w:b w:val="0"/>
          <w:color w:val="000000"/>
          <w:sz w:val="24"/>
          <w:szCs w:val="24"/>
          <w:highlight w:val="none"/>
        </w:rPr>
      </w:pPr>
      <w:r>
        <w:rPr>
          <w:rFonts w:ascii="Times New Roman" w:hAnsi="Times New Roman" w:eastAsia="宋体" w:cs="Times New Roman"/>
          <w:color w:val="000000"/>
          <w:sz w:val="24"/>
          <w:szCs w:val="24"/>
          <w:highlight w:val="none"/>
        </w:rPr>
        <w:t>提供操作培训，使科室工作人员能够熟练掌握产品的使用方法。</w:t>
      </w:r>
    </w:p>
    <w:p w14:paraId="4E41BAAE">
      <w:pPr>
        <w:pStyle w:val="11"/>
        <w:numPr>
          <w:ilvl w:val="0"/>
          <w:numId w:val="3"/>
        </w:numPr>
        <w:topLinePunct w:val="0"/>
        <w:ind w:left="0" w:leftChars="0" w:firstLine="480" w:firstLineChars="0"/>
        <w:rPr>
          <w:rFonts w:hint="eastAsia" w:ascii="宋体" w:hAnsi="宋体" w:eastAsia="宋体" w:cs="宋体"/>
          <w:b w:val="0"/>
          <w:color w:val="000000"/>
          <w:sz w:val="24"/>
          <w:szCs w:val="24"/>
          <w:highlight w:val="none"/>
        </w:rPr>
      </w:pPr>
      <w:r>
        <w:rPr>
          <w:rFonts w:ascii="Times New Roman" w:hAnsi="Times New Roman" w:eastAsia="宋体" w:cs="Times New Roman"/>
          <w:color w:val="000000"/>
          <w:sz w:val="24"/>
          <w:szCs w:val="24"/>
          <w:highlight w:val="none"/>
        </w:rPr>
        <w:t>提供≥3年的免费保修期，在此期间内非人为损坏由供应商负责免费维修或更换。</w:t>
      </w:r>
    </w:p>
    <w:p w14:paraId="4DC4411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Times New Roman" w:hAnsi="Times New Roman" w:eastAsia="宋体" w:cs="Times New Roman"/>
          <w:b/>
          <w:bCs/>
          <w:color w:val="000000"/>
          <w:sz w:val="24"/>
          <w:szCs w:val="24"/>
          <w:highlight w:val="none"/>
        </w:rPr>
      </w:pPr>
    </w:p>
    <w:p w14:paraId="4AA37A54">
      <w:pPr>
        <w:pStyle w:val="2"/>
        <w:rPr>
          <w:highlight w:val="none"/>
        </w:rPr>
      </w:pPr>
      <w:r>
        <w:rPr>
          <w:highlight w:val="none"/>
        </w:rPr>
        <w:t>商务要求</w:t>
      </w:r>
    </w:p>
    <w:p w14:paraId="0D5ED7F9">
      <w:pPr>
        <w:pStyle w:val="11"/>
        <w:numPr>
          <w:ilvl w:val="0"/>
          <w:numId w:val="4"/>
        </w:numPr>
        <w:topLinePunct w:val="0"/>
        <w:ind w:left="0" w:leftChars="0" w:firstLine="480" w:firstLineChars="0"/>
        <w:rPr>
          <w:rFonts w:hint="eastAsia" w:ascii="宋体" w:hAnsi="宋体" w:eastAsia="宋体" w:cs="宋体"/>
          <w:b w:val="0"/>
          <w:color w:val="000000"/>
          <w:sz w:val="24"/>
          <w:szCs w:val="24"/>
          <w:highlight w:val="none"/>
        </w:rPr>
      </w:pPr>
      <w:r>
        <w:rPr>
          <w:rFonts w:ascii="Times New Roman" w:hAnsi="Times New Roman" w:eastAsia="宋体" w:cs="Times New Roman"/>
          <w:color w:val="000000"/>
          <w:sz w:val="24"/>
          <w:szCs w:val="24"/>
          <w:highlight w:val="none"/>
        </w:rPr>
        <w:t>时间要求:中标供应商应在接到送货通知后</w:t>
      </w:r>
      <w:r>
        <w:rPr>
          <w:rFonts w:hint="eastAsia" w:cs="Times New Roman"/>
          <w:color w:val="000000"/>
          <w:sz w:val="24"/>
          <w:szCs w:val="24"/>
          <w:highlight w:val="none"/>
          <w:lang w:val="en-US" w:eastAsia="zh-CN"/>
        </w:rPr>
        <w:t>15</w:t>
      </w:r>
      <w:r>
        <w:rPr>
          <w:rFonts w:ascii="Times New Roman" w:hAnsi="Times New Roman" w:eastAsia="宋体" w:cs="Times New Roman"/>
          <w:color w:val="000000"/>
          <w:sz w:val="24"/>
          <w:szCs w:val="24"/>
          <w:highlight w:val="none"/>
        </w:rPr>
        <w:t>天内完成设备的交付</w:t>
      </w:r>
      <w:r>
        <w:rPr>
          <w:rFonts w:hint="eastAsia" w:cs="Times New Roman"/>
          <w:color w:val="000000"/>
          <w:sz w:val="24"/>
          <w:szCs w:val="24"/>
          <w:highlight w:val="none"/>
          <w:lang w:eastAsia="zh-CN"/>
        </w:rPr>
        <w:t>、</w:t>
      </w:r>
      <w:r>
        <w:rPr>
          <w:rFonts w:ascii="Times New Roman" w:hAnsi="Times New Roman" w:eastAsia="宋体" w:cs="Times New Roman"/>
          <w:color w:val="000000"/>
          <w:sz w:val="24"/>
          <w:szCs w:val="24"/>
          <w:highlight w:val="none"/>
        </w:rPr>
        <w:t>安装调试。</w:t>
      </w:r>
      <w:bookmarkStart w:id="0" w:name="_GoBack"/>
      <w:bookmarkEnd w:id="0"/>
    </w:p>
    <w:p w14:paraId="567E02CE">
      <w:pPr>
        <w:pStyle w:val="11"/>
        <w:numPr>
          <w:ilvl w:val="0"/>
          <w:numId w:val="4"/>
        </w:numPr>
        <w:topLinePunct w:val="0"/>
        <w:ind w:left="0" w:leftChars="0" w:firstLine="480" w:firstLineChars="0"/>
        <w:rPr>
          <w:rFonts w:hint="eastAsia" w:ascii="宋体" w:hAnsi="宋体" w:eastAsia="宋体" w:cs="宋体"/>
          <w:b w:val="0"/>
          <w:color w:val="000000"/>
          <w:sz w:val="24"/>
          <w:szCs w:val="24"/>
          <w:highlight w:val="none"/>
        </w:rPr>
      </w:pPr>
      <w:r>
        <w:rPr>
          <w:rFonts w:ascii="Times New Roman" w:hAnsi="Times New Roman" w:eastAsia="宋体" w:cs="Times New Roman"/>
          <w:color w:val="000000"/>
          <w:sz w:val="24"/>
          <w:szCs w:val="24"/>
          <w:highlight w:val="none"/>
        </w:rPr>
        <w:t>地点要求:交货地点院方指定地点。</w:t>
      </w:r>
    </w:p>
    <w:p w14:paraId="1D74BD0F">
      <w:pPr>
        <w:pStyle w:val="11"/>
        <w:numPr>
          <w:ilvl w:val="0"/>
          <w:numId w:val="4"/>
        </w:numPr>
        <w:topLinePunct w:val="0"/>
        <w:ind w:left="0" w:leftChars="0" w:firstLine="480" w:firstLineChars="0"/>
        <w:rPr>
          <w:rFonts w:hint="eastAsia" w:ascii="宋体" w:hAnsi="宋体" w:eastAsia="宋体" w:cs="宋体"/>
          <w:b w:val="0"/>
          <w:color w:val="000000"/>
          <w:sz w:val="24"/>
          <w:szCs w:val="24"/>
          <w:highlight w:val="none"/>
        </w:rPr>
      </w:pPr>
      <w:r>
        <w:rPr>
          <w:rFonts w:ascii="Times New Roman" w:hAnsi="Times New Roman" w:eastAsia="宋体" w:cs="Times New Roman"/>
          <w:color w:val="000000"/>
          <w:sz w:val="24"/>
          <w:szCs w:val="24"/>
          <w:highlight w:val="none"/>
        </w:rPr>
        <w:t>财务要求:货到交货地点并经验收合格后，在货物验收合格和收到厂家开具的等额增值税普通发票等付款材料之日起30个工作日内向乙方支付100%货款。</w:t>
      </w:r>
    </w:p>
    <w:p w14:paraId="17AE2C8B">
      <w:pPr>
        <w:pStyle w:val="11"/>
        <w:numPr>
          <w:ilvl w:val="0"/>
          <w:numId w:val="4"/>
        </w:numPr>
        <w:topLinePunct w:val="0"/>
        <w:ind w:left="0" w:leftChars="0" w:firstLine="480" w:firstLineChars="0"/>
        <w:rPr>
          <w:rFonts w:hint="eastAsia" w:ascii="宋体" w:hAnsi="宋体" w:eastAsia="宋体" w:cs="宋体"/>
          <w:b w:val="0"/>
          <w:color w:val="000000"/>
          <w:sz w:val="24"/>
          <w:szCs w:val="24"/>
          <w:highlight w:val="none"/>
        </w:rPr>
      </w:pPr>
      <w:r>
        <w:rPr>
          <w:rFonts w:ascii="Times New Roman" w:hAnsi="Times New Roman" w:eastAsia="宋体" w:cs="Times New Roman"/>
          <w:color w:val="000000"/>
          <w:sz w:val="24"/>
          <w:szCs w:val="24"/>
          <w:highlight w:val="none"/>
        </w:rPr>
        <w:t>包装与运输:设备需采用防震包装，确保运输过程中的安全。运输费用由供应商承担，运输途中的一切风险由供应商负责。</w:t>
      </w:r>
    </w:p>
    <w:p w14:paraId="50256084">
      <w:pPr>
        <w:pStyle w:val="11"/>
        <w:numPr>
          <w:ilvl w:val="0"/>
          <w:numId w:val="4"/>
        </w:numPr>
        <w:topLinePunct w:val="0"/>
        <w:ind w:left="0" w:leftChars="0" w:firstLine="480" w:firstLineChars="0"/>
        <w:rPr>
          <w:rFonts w:hint="eastAsia" w:ascii="宋体" w:hAnsi="宋体" w:eastAsia="宋体" w:cs="宋体"/>
          <w:b w:val="0"/>
          <w:color w:val="000000"/>
          <w:sz w:val="24"/>
          <w:szCs w:val="24"/>
          <w:highlight w:val="none"/>
        </w:rPr>
      </w:pPr>
      <w:r>
        <w:rPr>
          <w:rFonts w:ascii="Times New Roman" w:hAnsi="Times New Roman" w:eastAsia="宋体" w:cs="Times New Roman"/>
          <w:color w:val="000000"/>
          <w:sz w:val="24"/>
          <w:szCs w:val="24"/>
          <w:highlight w:val="none"/>
        </w:rPr>
        <w:t>需遵守医院供应商管理规定（规定详见医院官网-采购公告置顶内容）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9AE09D"/>
    <w:multiLevelType w:val="singleLevel"/>
    <w:tmpl w:val="BD9AE09D"/>
    <w:lvl w:ilvl="0" w:tentative="0">
      <w:start w:val="1"/>
      <w:numFmt w:val="decimal"/>
      <w:suff w:val="nothing"/>
      <w:lvlText w:val="%1、"/>
      <w:lvlJc w:val="left"/>
      <w:pPr>
        <w:ind w:left="0" w:firstLine="480"/>
      </w:pPr>
      <w:rPr>
        <w:rFonts w:hint="default"/>
      </w:rPr>
    </w:lvl>
  </w:abstractNum>
  <w:abstractNum w:abstractNumId="1">
    <w:nsid w:val="C5BFE4E5"/>
    <w:multiLevelType w:val="singleLevel"/>
    <w:tmpl w:val="C5BFE4E5"/>
    <w:lvl w:ilvl="0" w:tentative="0">
      <w:start w:val="1"/>
      <w:numFmt w:val="lowerLetter"/>
      <w:suff w:val="space"/>
      <w:lvlText w:val="%1."/>
      <w:lvlJc w:val="left"/>
      <w:pPr>
        <w:ind w:left="0" w:firstLine="480"/>
      </w:pPr>
      <w:rPr>
        <w:rFonts w:hint="default"/>
      </w:rPr>
    </w:lvl>
  </w:abstractNum>
  <w:abstractNum w:abstractNumId="2">
    <w:nsid w:val="17A41C72"/>
    <w:multiLevelType w:val="singleLevel"/>
    <w:tmpl w:val="17A41C72"/>
    <w:lvl w:ilvl="0" w:tentative="0">
      <w:start w:val="1"/>
      <w:numFmt w:val="decimal"/>
      <w:suff w:val="nothing"/>
      <w:lvlText w:val="%1、"/>
      <w:lvlJc w:val="left"/>
      <w:pPr>
        <w:ind w:left="0" w:firstLine="480"/>
      </w:pPr>
      <w:rPr>
        <w:rFonts w:hint="default"/>
      </w:rPr>
    </w:lvl>
  </w:abstractNum>
  <w:abstractNum w:abstractNumId="3">
    <w:nsid w:val="21C72D85"/>
    <w:multiLevelType w:val="singleLevel"/>
    <w:tmpl w:val="21C72D85"/>
    <w:lvl w:ilvl="0" w:tentative="0">
      <w:start w:val="1"/>
      <w:numFmt w:val="decimal"/>
      <w:suff w:val="nothing"/>
      <w:lvlText w:val="%1、"/>
      <w:lvlJc w:val="left"/>
      <w:pPr>
        <w:ind w:left="0" w:firstLine="48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B97"/>
    <w:rsid w:val="00003DD4"/>
    <w:rsid w:val="000B17F5"/>
    <w:rsid w:val="000B5DEB"/>
    <w:rsid w:val="000C52D1"/>
    <w:rsid w:val="00152AB5"/>
    <w:rsid w:val="00207C42"/>
    <w:rsid w:val="00231B97"/>
    <w:rsid w:val="002417C6"/>
    <w:rsid w:val="00286C75"/>
    <w:rsid w:val="0032433A"/>
    <w:rsid w:val="003C06AE"/>
    <w:rsid w:val="003F55EF"/>
    <w:rsid w:val="00477DA7"/>
    <w:rsid w:val="00496087"/>
    <w:rsid w:val="004D5157"/>
    <w:rsid w:val="00551518"/>
    <w:rsid w:val="00556195"/>
    <w:rsid w:val="005E2854"/>
    <w:rsid w:val="00602822"/>
    <w:rsid w:val="006272C4"/>
    <w:rsid w:val="00633201"/>
    <w:rsid w:val="00763AEC"/>
    <w:rsid w:val="00796F8F"/>
    <w:rsid w:val="008E214B"/>
    <w:rsid w:val="009B4AD8"/>
    <w:rsid w:val="00A93C9E"/>
    <w:rsid w:val="00B02507"/>
    <w:rsid w:val="00B46FAB"/>
    <w:rsid w:val="00BA5FFD"/>
    <w:rsid w:val="00BC4C60"/>
    <w:rsid w:val="00BD68DC"/>
    <w:rsid w:val="00BF1E8E"/>
    <w:rsid w:val="00C23E8C"/>
    <w:rsid w:val="00C61CCF"/>
    <w:rsid w:val="00CA55C2"/>
    <w:rsid w:val="00D05A3D"/>
    <w:rsid w:val="00D8666A"/>
    <w:rsid w:val="00DC4AC6"/>
    <w:rsid w:val="00DE16A5"/>
    <w:rsid w:val="00E53307"/>
    <w:rsid w:val="00E85487"/>
    <w:rsid w:val="00EB09EF"/>
    <w:rsid w:val="00ED6EEA"/>
    <w:rsid w:val="00F1440E"/>
    <w:rsid w:val="00F80477"/>
    <w:rsid w:val="00FD151A"/>
    <w:rsid w:val="04DD5D12"/>
    <w:rsid w:val="0D0F67A7"/>
    <w:rsid w:val="0D897D9F"/>
    <w:rsid w:val="1C365FDC"/>
    <w:rsid w:val="1D813C69"/>
    <w:rsid w:val="20FD05AB"/>
    <w:rsid w:val="23B51EDC"/>
    <w:rsid w:val="2FF15701"/>
    <w:rsid w:val="3E4F315D"/>
    <w:rsid w:val="40330901"/>
    <w:rsid w:val="41733376"/>
    <w:rsid w:val="442944F4"/>
    <w:rsid w:val="44377F06"/>
    <w:rsid w:val="479473B0"/>
    <w:rsid w:val="4E742748"/>
    <w:rsid w:val="55C20305"/>
    <w:rsid w:val="62C76F5C"/>
    <w:rsid w:val="77862295"/>
    <w:rsid w:val="7AB94F83"/>
    <w:rsid w:val="7DAF4F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next w:val="1"/>
    <w:qFormat/>
    <w:uiPriority w:val="9"/>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semiHidden/>
    <w:unhideWhenUsed/>
    <w:qFormat/>
    <w:uiPriority w:val="9"/>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semiHidden/>
    <w:unhideWhenUsed/>
    <w:qFormat/>
    <w:uiPriority w:val="9"/>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semiHidden/>
    <w:unhideWhenUsed/>
    <w:qFormat/>
    <w:uiPriority w:val="9"/>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semiHidden/>
    <w:unhideWhenUsed/>
    <w:qFormat/>
    <w:uiPriority w:val="9"/>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semiHidden/>
    <w:unhideWhenUsed/>
    <w:qFormat/>
    <w:uiPriority w:val="9"/>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semiHidden/>
    <w:unhideWhenUsed/>
    <w:qFormat/>
    <w:uiPriority w:val="9"/>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semiHidden/>
    <w:unhideWhenUsed/>
    <w:qFormat/>
    <w:uiPriority w:val="9"/>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semiHidden/>
    <w:unhideWhenUsed/>
    <w:qFormat/>
    <w:uiPriority w:val="9"/>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Body Text"/>
    <w:semiHidden/>
    <w:unhideWhenUsed/>
    <w:qFormat/>
    <w:uiPriority w:val="99"/>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2">
    <w:name w:val="Balloon Text"/>
    <w:basedOn w:val="1"/>
    <w:link w:val="23"/>
    <w:semiHidden/>
    <w:unhideWhenUsed/>
    <w:qFormat/>
    <w:uiPriority w:val="99"/>
    <w:rPr>
      <w:sz w:val="18"/>
      <w:szCs w:val="18"/>
    </w:rPr>
  </w:style>
  <w:style w:type="paragraph" w:styleId="13">
    <w:name w:val="footer"/>
    <w:basedOn w:val="1"/>
    <w:link w:val="21"/>
    <w:unhideWhenUsed/>
    <w:qFormat/>
    <w:uiPriority w:val="99"/>
    <w:pPr>
      <w:tabs>
        <w:tab w:val="center" w:pos="4153"/>
        <w:tab w:val="right" w:pos="8306"/>
      </w:tabs>
      <w:snapToGrid w:val="0"/>
      <w:jc w:val="left"/>
    </w:pPr>
    <w:rPr>
      <w:sz w:val="18"/>
      <w:szCs w:val="18"/>
    </w:rPr>
  </w:style>
  <w:style w:type="paragraph" w:styleId="14">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Subtitle"/>
    <w:qFormat/>
    <w:uiPriority w:val="11"/>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6">
    <w:name w:val="Title"/>
    <w:qFormat/>
    <w:uiPriority w:val="1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table" w:styleId="18">
    <w:name w:val="Table Grid"/>
    <w:basedOn w:val="1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页眉 字符"/>
    <w:basedOn w:val="19"/>
    <w:link w:val="14"/>
    <w:qFormat/>
    <w:uiPriority w:val="99"/>
    <w:rPr>
      <w:sz w:val="18"/>
      <w:szCs w:val="18"/>
    </w:rPr>
  </w:style>
  <w:style w:type="character" w:customStyle="1" w:styleId="21">
    <w:name w:val="页脚 字符"/>
    <w:basedOn w:val="19"/>
    <w:link w:val="13"/>
    <w:qFormat/>
    <w:uiPriority w:val="99"/>
    <w:rPr>
      <w:sz w:val="18"/>
      <w:szCs w:val="18"/>
    </w:rPr>
  </w:style>
  <w:style w:type="paragraph" w:styleId="22">
    <w:name w:val="List Paragraph"/>
    <w:basedOn w:val="1"/>
    <w:qFormat/>
    <w:uiPriority w:val="34"/>
    <w:pPr>
      <w:ind w:firstLine="420" w:firstLineChars="200"/>
    </w:pPr>
    <w:rPr>
      <w:rFonts w:ascii="Calibri" w:hAnsi="Calibri" w:eastAsia="宋体" w:cs="Times New Roman"/>
      <w:szCs w:val="24"/>
    </w:rPr>
  </w:style>
  <w:style w:type="character" w:customStyle="1" w:styleId="23">
    <w:name w:val="批注框文本 字符"/>
    <w:basedOn w:val="19"/>
    <w:link w:val="1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779</Words>
  <Characters>830</Characters>
  <Lines>2</Lines>
  <Paragraphs>1</Paragraphs>
  <TotalTime>8</TotalTime>
  <ScaleCrop>false</ScaleCrop>
  <LinksUpToDate>false</LinksUpToDate>
  <CharactersWithSpaces>848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2023-02-10T04:17:00Z</dcterms:created>
  <dc:creator>13580549141@163.com</dc:creator>
  <cp:lastModifiedBy>刘鹏飞</cp:lastModifiedBy>
  <cp:lastPrinted>2024-12-30T00:34:00Z</cp:lastPrinted>
  <dcterms:modified xsi:type="dcterms:W3CDTF">2026-07-28T03:04:05Z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eyJoZGlkIjoiOGVjMzFhNGE5ZDgzNWVmMjZiZjhmYWMwNjk0OTIxOTkiLCJ1c2VySWQiOiIxNjU3MTU4OTMzIn0=</vt:lpwstr>
  </property>
  <property fmtid="{D5CDD505-2E9C-101B-9397-08002B2CF9AE}" pid="3" name="KSOProductBuildVer">
    <vt:lpwstr>2052-12.1.0.26895</vt:lpwstr>
  </property>
  <property fmtid="{D5CDD505-2E9C-101B-9397-08002B2CF9AE}" pid="4" name="ICV">
    <vt:lpwstr>5730E63D590C479799290459AA13AFC5_13</vt:lpwstr>
  </property>
</Properties>
</file>