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color w:val="auto"/>
          <w:sz w:val="32"/>
          <w:szCs w:val="32"/>
          <w:highlight w:val="none"/>
        </w:rPr>
      </w:pPr>
      <w:r>
        <w:rPr>
          <w:rFonts w:hint="eastAsia"/>
          <w:b/>
          <w:bCs/>
          <w:color w:val="auto"/>
          <w:sz w:val="32"/>
          <w:szCs w:val="32"/>
          <w:highlight w:val="none"/>
        </w:rPr>
        <w:t>采购需求</w:t>
      </w:r>
    </w:p>
    <w:p w14:paraId="0C7569FF">
      <w:pPr>
        <w:jc w:val="left"/>
        <w:textAlignment w:val="baseline"/>
        <w:rPr>
          <w:rFonts w:hint="eastAsia"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基本参数</w:t>
      </w:r>
      <w:bookmarkStart w:id="0" w:name="_GoBack"/>
      <w:bookmarkEnd w:id="0"/>
    </w:p>
    <w:p w14:paraId="39A135D2">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1.适用范围/预期用途：产品用于疼痛治疗的射频毁损手术或者用于功能神经外科手术的神经组织毁损； </w:t>
      </w:r>
    </w:p>
    <w:p w14:paraId="654088FA">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2.四路射频输出电极 ：持续射频模式和脉冲射频模式可以操控1支电极、2支电极、3支电极和4支电极，工作方式可设置，可以设置双路双极进行治疗。主机持续射频模式和脉冲射频模式，每支射频输出电极具备独立实时电子显示界面；</w:t>
      </w:r>
    </w:p>
    <w:p w14:paraId="3CD36D0F">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3.感觉/运动刺激模式：频率：2-200Hz，脉宽：0.1-3ms，电压刺激模式：0-5V，精度为0.01V，电流刺激模式：0-10mA，精度为0.1mA；</w:t>
      </w:r>
    </w:p>
    <w:p w14:paraId="5B366EBC">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4.具备3种升温方式：普通升温、阶梯升温模式和电压升温模式；</w:t>
      </w:r>
    </w:p>
    <w:p w14:paraId="1715AD88">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5.E-DOSE 功能，可在脉冲手术时满足高温高电压或低温高电压手术，温度范围 37-90度，电压最高100V，脉宽2-50ms，频率1-10Hz，功率0.1-10W可调。自动控温情况下具有可变电压或者可变脉宽模式，具备自动和手动调节方式；</w:t>
      </w:r>
    </w:p>
    <w:p w14:paraId="44F29496">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6.图表式和数字式双显示界面：彩色液晶屏幕，触摸式操作，电子数据自动存储和输出；</w:t>
      </w:r>
    </w:p>
    <w:p w14:paraId="2D6136A9">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7.电流范围：0-700mA，60秒以上，持续射频：1mA有效电流，脉冲射频：1mA峰值电流，精度：满量程±10%；</w:t>
      </w:r>
    </w:p>
    <w:p w14:paraId="5FDE73DE">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8.阻抗监测：</w:t>
      </w:r>
    </w:p>
    <w:p w14:paraId="29921FCD">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8.1范围：0-3000Ω；</w:t>
      </w:r>
    </w:p>
    <w:p w14:paraId="462171A9">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8.2分辨率：1Ω（0-999Ω之间），100Ω（1000-3000Ω之间）；</w:t>
      </w:r>
    </w:p>
    <w:p w14:paraId="2A0035FB">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8.3准确度：30Ω-100Ω±10Ω；100Ω-3000Ω±20%；</w:t>
      </w:r>
    </w:p>
    <w:p w14:paraId="14CDE621">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9.持续射频模式：</w:t>
      </w:r>
    </w:p>
    <w:p w14:paraId="0971B3A7">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9.1电压范围：0-105v，工作温度范围：工作温度37-90℃，递增消融温度梯度范围1-53℃，分辨率1℃，精度：±3℃（41—90℃）± 4℃（1—40℃）；</w:t>
      </w:r>
    </w:p>
    <w:p w14:paraId="48B529B1">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9.2升温速度可调，具备自动和手动调节方式；</w:t>
      </w:r>
    </w:p>
    <w:p w14:paraId="51B272BE">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9.3持续射频模式下升温速率0.1-5℃/s可调，持续射频模式输出功率阈值1-50W可调；</w:t>
      </w:r>
    </w:p>
    <w:p w14:paraId="6BD7395B">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10.射频输出时间：范围：0:05min--30:00min；分辨率：1s；精度：±1%；</w:t>
      </w:r>
    </w:p>
    <w:p w14:paraId="01AC8E0B">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11.延迟启动模式：≥1单极或者≥1双极模式下，可实现第2极/双极延迟启动模式，根据治疗部位不同，选择不同时间开始每个电极治疗；</w:t>
      </w:r>
    </w:p>
    <w:p w14:paraId="374C3BE5">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12.耗材型号多种，可提供一次性使用射频电极可选，可提供直型、弯型、弯钝型的一次性使用射频套管针可选。</w:t>
      </w:r>
    </w:p>
    <w:p w14:paraId="09A47E8E">
      <w:pPr>
        <w:spacing w:line="360" w:lineRule="auto"/>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二、主要配置（单台）</w:t>
      </w:r>
    </w:p>
    <w:p w14:paraId="0E95C9AE">
      <w:pPr>
        <w:spacing w:line="360" w:lineRule="auto"/>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标配</w:t>
      </w:r>
    </w:p>
    <w:p w14:paraId="6B323696">
      <w:pPr>
        <w:spacing w:line="360" w:lineRule="auto"/>
        <w:jc w:val="left"/>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服务要求</w:t>
      </w:r>
    </w:p>
    <w:p w14:paraId="006508E4">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1、提供详细的产品使用说明书和操作指南。</w:t>
      </w:r>
    </w:p>
    <w:p w14:paraId="3F12B1A0">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2、提供安装和调试服务，确保产品正确安装并能正常使用。</w:t>
      </w:r>
    </w:p>
    <w:p w14:paraId="4B3513B4">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3、提供操作培训，使科室工作人员能够熟练掌握产品的使用方法。</w:t>
      </w:r>
    </w:p>
    <w:p w14:paraId="4E41BAAE">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4、提供≥3年的免费保修期，在此期间内非人为损坏由供应商负责免费维修或更换。</w:t>
      </w:r>
    </w:p>
    <w:p w14:paraId="4DC44110">
      <w:pPr>
        <w:spacing w:line="360" w:lineRule="auto"/>
        <w:jc w:val="left"/>
        <w:rPr>
          <w:rFonts w:ascii="Times New Roman" w:hAnsi="Times New Roman" w:eastAsia="宋体" w:cs="Times New Roman"/>
          <w:b/>
          <w:bCs/>
          <w:color w:val="auto"/>
          <w:sz w:val="24"/>
          <w:szCs w:val="24"/>
          <w:highlight w:val="none"/>
        </w:rPr>
      </w:pPr>
    </w:p>
    <w:p w14:paraId="4AA37A54">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b/>
          <w:bCs/>
          <w:color w:val="auto"/>
          <w:sz w:val="24"/>
          <w:szCs w:val="24"/>
          <w:highlight w:val="none"/>
        </w:rPr>
        <w:t>商务要求</w:t>
      </w:r>
    </w:p>
    <w:p w14:paraId="0D5ED7F9">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2、地点要求:交货地点院方指定地点。</w:t>
      </w:r>
    </w:p>
    <w:p w14:paraId="1D74BD0F">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4771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366</Words>
  <Characters>372</Characters>
  <Lines>2</Lines>
  <Paragraphs>1</Paragraphs>
  <TotalTime>33</TotalTime>
  <ScaleCrop>false</ScaleCrop>
  <LinksUpToDate>false</LinksUpToDate>
  <CharactersWithSpaces>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2026-03-16T03:50:06Z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11B231DABAB14734BEC58F43EF4E64B6_12</vt:lpwstr>
  </property>
</Properties>
</file>