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2A51B">
      <w:pPr>
        <w:pStyle w:val="3"/>
        <w:keepNext w:val="0"/>
        <w:keepLines w:val="0"/>
        <w:pageBreakBefore w:val="0"/>
        <w:widowControl w:val="0"/>
        <w:numPr>
          <w:ilvl w:val="0"/>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ascii="黑体" w:hAnsi="黑体" w:eastAsia="黑体" w:cs="黑体"/>
          <w:b w:val="0"/>
          <w:highlight w:val="none"/>
          <w:u w:val="none"/>
        </w:rPr>
      </w:pPr>
      <w:r>
        <w:rPr>
          <w:highlight w:val="none"/>
          <w:u w:val="none"/>
        </w:rPr>
        <w:t>技术参数：</w:t>
      </w:r>
    </w:p>
    <w:p w14:paraId="5A2FBE3C">
      <w:pPr>
        <w:rPr>
          <w:rFonts w:hint="eastAsia" w:ascii="Times New Roman" w:hAnsi="Times New Roman" w:eastAsia="宋体" w:cs="Times New Roman"/>
          <w:b w:val="0"/>
          <w:i w:val="0"/>
          <w:strike w:val="0"/>
          <w:color w:val="auto"/>
          <w:sz w:val="24"/>
          <w:szCs w:val="24"/>
          <w:highlight w:val="none"/>
          <w:u w:val="none"/>
        </w:rPr>
      </w:pPr>
      <w:r>
        <w:rPr>
          <w:rFonts w:hint="eastAsia" w:ascii="Times New Roman" w:hAnsi="Times New Roman" w:eastAsia="宋体" w:cs="Times New Roman"/>
          <w:b w:val="0"/>
          <w:i w:val="0"/>
          <w:strike w:val="0"/>
          <w:color w:val="auto"/>
          <w:sz w:val="24"/>
          <w:szCs w:val="24"/>
          <w:highlight w:val="none"/>
          <w:u w:val="none"/>
        </w:rPr>
        <w:t>1、内窥镜镜体采用优质医用不锈钢管加工</w:t>
      </w:r>
    </w:p>
    <w:p w14:paraId="65A70CFC">
      <w:pPr>
        <w:rPr>
          <w:rFonts w:hint="eastAsia" w:ascii="Times New Roman" w:hAnsi="Times New Roman" w:eastAsia="宋体" w:cs="Times New Roman"/>
          <w:b w:val="0"/>
          <w:i w:val="0"/>
          <w:strike w:val="0"/>
          <w:color w:val="auto"/>
          <w:sz w:val="24"/>
          <w:szCs w:val="24"/>
          <w:highlight w:val="none"/>
          <w:u w:val="none"/>
        </w:rPr>
      </w:pPr>
      <w:r>
        <w:rPr>
          <w:rFonts w:hint="eastAsia" w:ascii="Times New Roman" w:hAnsi="Times New Roman" w:eastAsia="宋体" w:cs="Times New Roman"/>
          <w:b w:val="0"/>
          <w:i w:val="0"/>
          <w:strike w:val="0"/>
          <w:color w:val="auto"/>
          <w:sz w:val="24"/>
          <w:szCs w:val="24"/>
          <w:highlight w:val="none"/>
          <w:u w:val="none"/>
        </w:rPr>
        <w:t>2、内窥镜采用优质光学玻璃、光纤、光锥加工</w:t>
      </w:r>
    </w:p>
    <w:p w14:paraId="0E0088C9">
      <w:pPr>
        <w:rPr>
          <w:rFonts w:hint="eastAsia" w:ascii="Times New Roman" w:hAnsi="Times New Roman" w:eastAsia="宋体" w:cs="Times New Roman"/>
          <w:b w:val="0"/>
          <w:i w:val="0"/>
          <w:strike w:val="0"/>
          <w:color w:val="auto"/>
          <w:sz w:val="24"/>
          <w:szCs w:val="24"/>
          <w:highlight w:val="none"/>
          <w:u w:val="none"/>
        </w:rPr>
      </w:pPr>
      <w:r>
        <w:rPr>
          <w:rFonts w:hint="eastAsia" w:ascii="Times New Roman" w:hAnsi="Times New Roman" w:eastAsia="宋体" w:cs="Times New Roman"/>
          <w:b w:val="0"/>
          <w:i w:val="0"/>
          <w:strike w:val="0"/>
          <w:color w:val="auto"/>
          <w:sz w:val="24"/>
          <w:szCs w:val="24"/>
          <w:highlight w:val="none"/>
          <w:u w:val="none"/>
        </w:rPr>
        <w:t>3、采用柱状透镜技术，图像清晰，视场明亮</w:t>
      </w:r>
    </w:p>
    <w:p w14:paraId="5CB585CF">
      <w:pPr>
        <w:rPr>
          <w:rFonts w:hint="eastAsia" w:ascii="Times New Roman" w:hAnsi="Times New Roman" w:eastAsia="宋体" w:cs="Times New Roman"/>
          <w:b w:val="0"/>
          <w:i w:val="0"/>
          <w:strike w:val="0"/>
          <w:color w:val="auto"/>
          <w:sz w:val="24"/>
          <w:szCs w:val="24"/>
          <w:highlight w:val="none"/>
          <w:u w:val="none"/>
        </w:rPr>
      </w:pPr>
      <w:r>
        <w:rPr>
          <w:rFonts w:hint="eastAsia" w:ascii="Times New Roman" w:hAnsi="Times New Roman" w:eastAsia="宋体" w:cs="Times New Roman"/>
          <w:b w:val="0"/>
          <w:i w:val="0"/>
          <w:strike w:val="0"/>
          <w:color w:val="auto"/>
          <w:sz w:val="24"/>
          <w:szCs w:val="24"/>
          <w:highlight w:val="none"/>
          <w:u w:val="none"/>
        </w:rPr>
        <w:t>4、采用蓝宝石玻璃镜头，耐磨损，带有方向标</w:t>
      </w:r>
    </w:p>
    <w:p w14:paraId="73782FE8">
      <w:pPr>
        <w:rPr>
          <w:rFonts w:hint="eastAsia" w:ascii="Times New Roman" w:hAnsi="Times New Roman" w:eastAsia="宋体" w:cs="Times New Roman"/>
          <w:b w:val="0"/>
          <w:i w:val="0"/>
          <w:strike w:val="0"/>
          <w:color w:val="auto"/>
          <w:sz w:val="24"/>
          <w:szCs w:val="24"/>
          <w:highlight w:val="none"/>
          <w:u w:val="none"/>
        </w:rPr>
      </w:pPr>
      <w:r>
        <w:rPr>
          <w:rFonts w:hint="eastAsia" w:ascii="Times New Roman" w:hAnsi="Times New Roman" w:eastAsia="宋体" w:cs="Times New Roman"/>
          <w:b w:val="0"/>
          <w:i w:val="0"/>
          <w:strike w:val="0"/>
          <w:color w:val="auto"/>
          <w:sz w:val="24"/>
          <w:szCs w:val="24"/>
          <w:highlight w:val="none"/>
          <w:u w:val="none"/>
        </w:rPr>
        <w:t>5、规格:直径≤2.7mm，工作长度:&gt;110mm;</w:t>
      </w:r>
    </w:p>
    <w:p w14:paraId="09A47E8E">
      <w:pPr>
        <w:pStyle w:val="3"/>
        <w:keepNext w:val="0"/>
        <w:keepLines w:val="0"/>
        <w:pageBreakBefore w:val="0"/>
        <w:widowControl w:val="0"/>
        <w:numPr>
          <w:ilvl w:val="0"/>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ascii="黑体" w:hAnsi="黑体" w:eastAsia="黑体" w:cs="黑体"/>
          <w:b w:val="0"/>
          <w:highlight w:val="none"/>
          <w:u w:val="none"/>
        </w:rPr>
      </w:pPr>
      <w:r>
        <w:rPr>
          <w:highlight w:val="none"/>
          <w:u w:val="none"/>
        </w:rPr>
        <w:t>主要配置</w:t>
      </w:r>
      <w:bookmarkStart w:id="0" w:name="_GoBack"/>
      <w:bookmarkEnd w:id="0"/>
    </w:p>
    <w:p w14:paraId="7E756B5F">
      <w:pPr>
        <w:rPr>
          <w:rFonts w:hint="default" w:eastAsia="宋体"/>
          <w:lang w:val="en-US" w:eastAsia="zh-CN"/>
        </w:rPr>
      </w:pPr>
      <w:r>
        <w:rPr>
          <w:rFonts w:hint="eastAsia" w:ascii="Times New Roman" w:hAnsi="Times New Roman" w:eastAsia="宋体" w:cs="Times New Roman"/>
          <w:b w:val="0"/>
          <w:i w:val="0"/>
          <w:strike w:val="0"/>
          <w:color w:val="auto"/>
          <w:sz w:val="24"/>
          <w:szCs w:val="24"/>
          <w:highlight w:val="none"/>
          <w:u w:val="none"/>
        </w:rPr>
        <w:t>视向角</w:t>
      </w:r>
      <w:r>
        <w:rPr>
          <w:rFonts w:hint="eastAsia" w:ascii="Times New Roman" w:hAnsi="Times New Roman" w:eastAsia="宋体" w:cs="Times New Roman"/>
          <w:b w:val="0"/>
          <w:i w:val="0"/>
          <w:strike w:val="0"/>
          <w:color w:val="auto"/>
          <w:sz w:val="24"/>
          <w:szCs w:val="24"/>
          <w:highlight w:val="none"/>
          <w:u w:val="none"/>
          <w:lang w:val="en-US" w:eastAsia="zh-CN"/>
        </w:rPr>
        <w:t>0° 3把；</w:t>
      </w:r>
    </w:p>
    <w:p w14:paraId="6B323696">
      <w:pPr>
        <w:pStyle w:val="4"/>
        <w:keepNext w:val="0"/>
        <w:keepLines w:val="0"/>
        <w:pageBreakBefore w:val="0"/>
        <w:widowControl w:val="0"/>
        <w:kinsoku/>
        <w:wordWrap/>
        <w:overflowPunct/>
        <w:topLinePunct w:val="0"/>
        <w:autoSpaceDE/>
        <w:autoSpaceDN/>
        <w:bidi w:val="0"/>
        <w:adjustRightInd w:val="0"/>
        <w:snapToGrid/>
        <w:spacing w:line="240" w:lineRule="auto"/>
        <w:textAlignment w:val="auto"/>
        <w:rPr>
          <w:highlight w:val="none"/>
          <w:u w:val="none"/>
        </w:rPr>
      </w:pPr>
      <w:r>
        <w:rPr>
          <w:highlight w:val="none"/>
          <w:u w:val="none"/>
        </w:rPr>
        <w:t>服务要求</w:t>
      </w:r>
    </w:p>
    <w:p w14:paraId="006508E4">
      <w:pPr>
        <w:pStyle w:val="12"/>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rPr>
      </w:pPr>
      <w:r>
        <w:rPr>
          <w:rFonts w:ascii="Times New Roman" w:hAnsi="Times New Roman" w:eastAsia="宋体" w:cs="Times New Roman"/>
          <w:b w:val="0"/>
          <w:i w:val="0"/>
          <w:strike w:val="0"/>
          <w:color w:val="auto"/>
          <w:sz w:val="24"/>
          <w:szCs w:val="24"/>
          <w:highlight w:val="none"/>
          <w:u w:val="none"/>
        </w:rPr>
        <w:t>提供产品医疗器械注册证。</w:t>
      </w:r>
    </w:p>
    <w:p w14:paraId="3F12B1A0">
      <w:pPr>
        <w:pStyle w:val="12"/>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rPr>
      </w:pPr>
      <w:r>
        <w:rPr>
          <w:rFonts w:ascii="Times New Roman" w:hAnsi="Times New Roman" w:eastAsia="宋体" w:cs="Times New Roman"/>
          <w:b w:val="0"/>
          <w:i w:val="0"/>
          <w:strike w:val="0"/>
          <w:color w:val="auto"/>
          <w:sz w:val="24"/>
          <w:szCs w:val="24"/>
          <w:highlight w:val="none"/>
          <w:u w:val="none"/>
        </w:rPr>
        <w:t>提供安装和调试服务，确保产品正确安装并能正常使用。</w:t>
      </w:r>
    </w:p>
    <w:p w14:paraId="4B3513B4">
      <w:pPr>
        <w:pStyle w:val="12"/>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rPr>
      </w:pPr>
      <w:r>
        <w:rPr>
          <w:rFonts w:ascii="Times New Roman" w:hAnsi="Times New Roman" w:eastAsia="宋体" w:cs="Times New Roman"/>
          <w:b w:val="0"/>
          <w:i w:val="0"/>
          <w:strike w:val="0"/>
          <w:color w:val="auto"/>
          <w:sz w:val="24"/>
          <w:szCs w:val="24"/>
          <w:highlight w:val="none"/>
          <w:u w:val="none"/>
        </w:rPr>
        <w:t>提供操作培训，使科室工作人员能够熟练掌握产品的使用方法。</w:t>
      </w:r>
    </w:p>
    <w:p w14:paraId="4DC44110">
      <w:pPr>
        <w:pStyle w:val="12"/>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rPr>
      </w:pPr>
      <w:r>
        <w:rPr>
          <w:rFonts w:ascii="Times New Roman" w:hAnsi="Times New Roman" w:eastAsia="宋体" w:cs="Times New Roman"/>
          <w:b w:val="0"/>
          <w:i w:val="0"/>
          <w:strike w:val="0"/>
          <w:color w:val="auto"/>
          <w:sz w:val="24"/>
          <w:szCs w:val="24"/>
          <w:highlight w:val="none"/>
          <w:u w:val="none"/>
        </w:rPr>
        <w:t>提供≥3年的免费保修期，在此期间内非人为损坏由供应商负责免费维修或更换。</w:t>
      </w:r>
    </w:p>
    <w:p w14:paraId="4AA37A54">
      <w:pPr>
        <w:pStyle w:val="4"/>
        <w:keepNext w:val="0"/>
        <w:keepLines w:val="0"/>
        <w:pageBreakBefore w:val="0"/>
        <w:widowControl w:val="0"/>
        <w:kinsoku/>
        <w:wordWrap/>
        <w:overflowPunct/>
        <w:topLinePunct w:val="0"/>
        <w:autoSpaceDE/>
        <w:autoSpaceDN/>
        <w:bidi w:val="0"/>
        <w:adjustRightInd w:val="0"/>
        <w:snapToGrid/>
        <w:spacing w:line="240" w:lineRule="auto"/>
        <w:textAlignment w:val="auto"/>
        <w:rPr>
          <w:highlight w:val="none"/>
          <w:u w:val="none"/>
        </w:rPr>
      </w:pPr>
      <w:r>
        <w:rPr>
          <w:highlight w:val="none"/>
          <w:u w:val="none"/>
        </w:rPr>
        <w:t>商务要求</w:t>
      </w:r>
    </w:p>
    <w:p w14:paraId="0D5ED7F9">
      <w:pPr>
        <w:pStyle w:val="12"/>
        <w:keepNext w:val="0"/>
        <w:keepLines w:val="0"/>
        <w:pageBreakBefore w:val="0"/>
        <w:widowControl w:val="0"/>
        <w:numPr>
          <w:ilvl w:val="0"/>
          <w:numId w:val="3"/>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rPr>
      </w:pPr>
      <w:r>
        <w:rPr>
          <w:rFonts w:ascii="Times New Roman" w:hAnsi="Times New Roman" w:eastAsia="宋体" w:cs="Times New Roman"/>
          <w:b w:val="0"/>
          <w:i w:val="0"/>
          <w:strike w:val="0"/>
          <w:color w:val="auto"/>
          <w:sz w:val="24"/>
          <w:szCs w:val="24"/>
          <w:highlight w:val="none"/>
          <w:u w:val="none"/>
        </w:rPr>
        <w:t>时间要求:中标供应商应在接到送货通知后7天内完成设备的交付，并在15天内完成安装调试。</w:t>
      </w:r>
    </w:p>
    <w:p w14:paraId="567E02CE">
      <w:pPr>
        <w:pStyle w:val="12"/>
        <w:keepNext w:val="0"/>
        <w:keepLines w:val="0"/>
        <w:pageBreakBefore w:val="0"/>
        <w:widowControl w:val="0"/>
        <w:numPr>
          <w:ilvl w:val="0"/>
          <w:numId w:val="3"/>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rPr>
      </w:pPr>
      <w:r>
        <w:rPr>
          <w:rFonts w:ascii="Times New Roman" w:hAnsi="Times New Roman" w:eastAsia="宋体" w:cs="Times New Roman"/>
          <w:b w:val="0"/>
          <w:i w:val="0"/>
          <w:strike w:val="0"/>
          <w:color w:val="auto"/>
          <w:sz w:val="24"/>
          <w:szCs w:val="24"/>
          <w:highlight w:val="none"/>
          <w:u w:val="none"/>
        </w:rPr>
        <w:t>地点要求:交货地点院方指定地点。</w:t>
      </w:r>
    </w:p>
    <w:p w14:paraId="1D74BD0F">
      <w:pPr>
        <w:pStyle w:val="12"/>
        <w:keepNext w:val="0"/>
        <w:keepLines w:val="0"/>
        <w:pageBreakBefore w:val="0"/>
        <w:widowControl w:val="0"/>
        <w:numPr>
          <w:ilvl w:val="0"/>
          <w:numId w:val="3"/>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rPr>
      </w:pPr>
      <w:r>
        <w:rPr>
          <w:rFonts w:ascii="Times New Roman" w:hAnsi="Times New Roman" w:eastAsia="宋体" w:cs="Times New Roman"/>
          <w:b w:val="0"/>
          <w:i w:val="0"/>
          <w:strike w:val="0"/>
          <w:color w:val="auto"/>
          <w:sz w:val="24"/>
          <w:szCs w:val="24"/>
          <w:highlight w:val="none"/>
          <w:u w:val="none"/>
        </w:rPr>
        <w:t>财务要求:货到交货地点并经验收合格后，在货物验收合格和收到厂家开具的等额增值税普通发票等付款材料之日起30个工作日内向乙方支付100%货款。</w:t>
      </w:r>
    </w:p>
    <w:p w14:paraId="17AE2C8B">
      <w:pPr>
        <w:pStyle w:val="12"/>
        <w:keepNext w:val="0"/>
        <w:keepLines w:val="0"/>
        <w:pageBreakBefore w:val="0"/>
        <w:widowControl w:val="0"/>
        <w:numPr>
          <w:ilvl w:val="0"/>
          <w:numId w:val="3"/>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rPr>
      </w:pPr>
      <w:r>
        <w:rPr>
          <w:rFonts w:ascii="Times New Roman" w:hAnsi="Times New Roman" w:eastAsia="宋体" w:cs="Times New Roman"/>
          <w:b w:val="0"/>
          <w:i w:val="0"/>
          <w:strike w:val="0"/>
          <w:color w:val="auto"/>
          <w:sz w:val="24"/>
          <w:szCs w:val="24"/>
          <w:highlight w:val="none"/>
          <w:u w:val="none"/>
        </w:rPr>
        <w:t>包装与运输:设备需采用防震包装，确保运输过程中的安全。运输费用由供应商承担，运输途中的一切风险由供应商负责。</w:t>
      </w:r>
    </w:p>
    <w:p w14:paraId="50256084">
      <w:pPr>
        <w:pStyle w:val="12"/>
        <w:keepNext w:val="0"/>
        <w:keepLines w:val="0"/>
        <w:pageBreakBefore w:val="0"/>
        <w:widowControl w:val="0"/>
        <w:numPr>
          <w:ilvl w:val="0"/>
          <w:numId w:val="3"/>
        </w:numPr>
        <w:kinsoku/>
        <w:wordWrap/>
        <w:overflowPunct/>
        <w:topLinePunct w:val="0"/>
        <w:autoSpaceDE/>
        <w:autoSpaceDN/>
        <w:bidi w:val="0"/>
        <w:adjustRightInd w:val="0"/>
        <w:snapToGrid/>
        <w:spacing w:line="240" w:lineRule="auto"/>
        <w:ind w:left="0" w:leftChars="0" w:firstLine="480" w:firstLineChars="0"/>
        <w:textAlignment w:val="auto"/>
        <w:rPr>
          <w:rFonts w:hint="eastAsia" w:ascii="宋体" w:hAnsi="宋体" w:eastAsia="宋体" w:cs="宋体"/>
          <w:b w:val="0"/>
          <w:i w:val="0"/>
          <w:strike w:val="0"/>
          <w:color w:val="auto"/>
          <w:sz w:val="24"/>
          <w:szCs w:val="24"/>
          <w:highlight w:val="none"/>
          <w:u w:val="none"/>
        </w:rPr>
      </w:pPr>
      <w:r>
        <w:rPr>
          <w:rFonts w:ascii="Times New Roman" w:hAnsi="Times New Roman" w:eastAsia="宋体" w:cs="Times New Roman"/>
          <w:b w:val="0"/>
          <w:i w:val="0"/>
          <w:strike w:val="0"/>
          <w:color w:val="auto"/>
          <w:sz w:val="24"/>
          <w:szCs w:val="24"/>
          <w:highlight w:val="none"/>
          <w:u w:val="none"/>
        </w:rPr>
        <w:t>需遵守医院供应商管理规定（规定详见医院官网-采购公告置顶内容）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40F4F"/>
    <w:multiLevelType w:val="singleLevel"/>
    <w:tmpl w:val="81F40F4F"/>
    <w:lvl w:ilvl="0" w:tentative="0">
      <w:start w:val="1"/>
      <w:numFmt w:val="chineseCounting"/>
      <w:suff w:val="nothing"/>
      <w:lvlText w:val="%1、"/>
      <w:lvlJc w:val="left"/>
      <w:pPr>
        <w:ind w:left="0" w:firstLine="0"/>
      </w:pPr>
      <w:rPr>
        <w:rFonts w:hint="eastAsia"/>
      </w:rPr>
    </w:lvl>
  </w:abstractNum>
  <w:abstractNum w:abstractNumId="1">
    <w:nsid w:val="963857F7"/>
    <w:multiLevelType w:val="singleLevel"/>
    <w:tmpl w:val="963857F7"/>
    <w:lvl w:ilvl="0" w:tentative="0">
      <w:start w:val="1"/>
      <w:numFmt w:val="decimal"/>
      <w:suff w:val="nothing"/>
      <w:lvlText w:val="%1、"/>
      <w:lvlJc w:val="left"/>
      <w:pPr>
        <w:ind w:left="0" w:firstLine="480"/>
      </w:pPr>
      <w:rPr>
        <w:rFonts w:hint="default"/>
      </w:rPr>
    </w:lvl>
  </w:abstractNum>
  <w:abstractNum w:abstractNumId="2">
    <w:nsid w:val="A03BDAFF"/>
    <w:multiLevelType w:val="singleLevel"/>
    <w:tmpl w:val="A03BDAFF"/>
    <w:lvl w:ilvl="0" w:tentative="0">
      <w:start w:val="1"/>
      <w:numFmt w:val="decimal"/>
      <w:suff w:val="nothing"/>
      <w:lvlText w:val="%1、"/>
      <w:lvlJc w:val="left"/>
      <w:pPr>
        <w:ind w:left="0" w:firstLine="48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97"/>
    <w:rsid w:val="00003DD4"/>
    <w:rsid w:val="000B17F5"/>
    <w:rsid w:val="000B5DEB"/>
    <w:rsid w:val="000C52D1"/>
    <w:rsid w:val="00152AB5"/>
    <w:rsid w:val="00207C42"/>
    <w:rsid w:val="00231B97"/>
    <w:rsid w:val="002417C6"/>
    <w:rsid w:val="00286C75"/>
    <w:rsid w:val="0032433A"/>
    <w:rsid w:val="003C06AE"/>
    <w:rsid w:val="003F55EF"/>
    <w:rsid w:val="00477DA7"/>
    <w:rsid w:val="00496087"/>
    <w:rsid w:val="004D5157"/>
    <w:rsid w:val="00551518"/>
    <w:rsid w:val="00556195"/>
    <w:rsid w:val="005E2854"/>
    <w:rsid w:val="00602822"/>
    <w:rsid w:val="006272C4"/>
    <w:rsid w:val="00633201"/>
    <w:rsid w:val="00763AEC"/>
    <w:rsid w:val="00796F8F"/>
    <w:rsid w:val="008E214B"/>
    <w:rsid w:val="009B4AD8"/>
    <w:rsid w:val="00A93C9E"/>
    <w:rsid w:val="00B02507"/>
    <w:rsid w:val="00B46FAB"/>
    <w:rsid w:val="00BA5FFD"/>
    <w:rsid w:val="00BC4C60"/>
    <w:rsid w:val="00BD68DC"/>
    <w:rsid w:val="00BF1E8E"/>
    <w:rsid w:val="00C23E8C"/>
    <w:rsid w:val="00C61CCF"/>
    <w:rsid w:val="00CA55C2"/>
    <w:rsid w:val="00D05A3D"/>
    <w:rsid w:val="00D8666A"/>
    <w:rsid w:val="00DC4AC6"/>
    <w:rsid w:val="00DE16A5"/>
    <w:rsid w:val="00E53307"/>
    <w:rsid w:val="00EB09EF"/>
    <w:rsid w:val="00ED6EEA"/>
    <w:rsid w:val="00F1440E"/>
    <w:rsid w:val="00F80477"/>
    <w:rsid w:val="00FD151A"/>
    <w:rsid w:val="01200D8F"/>
    <w:rsid w:val="019D70FB"/>
    <w:rsid w:val="02847444"/>
    <w:rsid w:val="138E2FF9"/>
    <w:rsid w:val="18804AC7"/>
    <w:rsid w:val="19C16A8B"/>
    <w:rsid w:val="1FF16DE9"/>
    <w:rsid w:val="20876994"/>
    <w:rsid w:val="22E35D21"/>
    <w:rsid w:val="244807D4"/>
    <w:rsid w:val="2B2A5E3A"/>
    <w:rsid w:val="2EFE6E2D"/>
    <w:rsid w:val="387B329C"/>
    <w:rsid w:val="6B916358"/>
    <w:rsid w:val="71211AEC"/>
    <w:rsid w:val="78EA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next w:val="1"/>
    <w:qFormat/>
    <w:uiPriority w:val="9"/>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4">
    <w:name w:val="heading 2"/>
    <w:next w:val="1"/>
    <w:unhideWhenUsed/>
    <w:qFormat/>
    <w:uiPriority w:val="9"/>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5">
    <w:name w:val="heading 3"/>
    <w:next w:val="1"/>
    <w:semiHidden/>
    <w:unhideWhenUsed/>
    <w:qFormat/>
    <w:uiPriority w:val="9"/>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6">
    <w:name w:val="heading 4"/>
    <w:next w:val="1"/>
    <w:semiHidden/>
    <w:unhideWhenUsed/>
    <w:qFormat/>
    <w:uiPriority w:val="9"/>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7">
    <w:name w:val="heading 5"/>
    <w:next w:val="1"/>
    <w:semiHidden/>
    <w:unhideWhenUsed/>
    <w:qFormat/>
    <w:uiPriority w:val="9"/>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8">
    <w:name w:val="heading 6"/>
    <w:next w:val="1"/>
    <w:semiHidden/>
    <w:unhideWhenUsed/>
    <w:qFormat/>
    <w:uiPriority w:val="9"/>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9">
    <w:name w:val="heading 7"/>
    <w:next w:val="1"/>
    <w:semiHidden/>
    <w:unhideWhenUsed/>
    <w:qFormat/>
    <w:uiPriority w:val="9"/>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10">
    <w:name w:val="heading 8"/>
    <w:next w:val="1"/>
    <w:semiHidden/>
    <w:unhideWhenUsed/>
    <w:qFormat/>
    <w:uiPriority w:val="9"/>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1">
    <w:name w:val="heading 9"/>
    <w:next w:val="1"/>
    <w:semiHidden/>
    <w:unhideWhenUsed/>
    <w:qFormat/>
    <w:uiPriority w:val="9"/>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w:semiHidden/>
    <w:unhideWhenUsed/>
    <w:uiPriority w:val="99"/>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3">
    <w:name w:val="Plain Text"/>
    <w:basedOn w:val="1"/>
    <w:qFormat/>
    <w:uiPriority w:val="0"/>
    <w:pPr>
      <w:jc w:val="both"/>
    </w:pPr>
    <w:rPr>
      <w:rFonts w:ascii="宋体" w:hAnsi="Courier New"/>
    </w:rPr>
  </w:style>
  <w:style w:type="paragraph" w:styleId="14">
    <w:name w:val="Balloon Text"/>
    <w:basedOn w:val="1"/>
    <w:link w:val="23"/>
    <w:semiHidden/>
    <w:unhideWhenUsed/>
    <w:qFormat/>
    <w:uiPriority w:val="99"/>
    <w:rPr>
      <w:sz w:val="18"/>
      <w:szCs w:val="18"/>
    </w:rPr>
  </w:style>
  <w:style w:type="paragraph" w:styleId="15">
    <w:name w:val="footer"/>
    <w:basedOn w:val="1"/>
    <w:link w:val="21"/>
    <w:unhideWhenUsed/>
    <w:qFormat/>
    <w:uiPriority w:val="99"/>
    <w:pPr>
      <w:tabs>
        <w:tab w:val="center" w:pos="4153"/>
        <w:tab w:val="right" w:pos="8306"/>
      </w:tabs>
      <w:snapToGrid w:val="0"/>
      <w:jc w:val="left"/>
    </w:pPr>
    <w:rPr>
      <w:sz w:val="18"/>
      <w:szCs w:val="18"/>
    </w:rPr>
  </w:style>
  <w:style w:type="paragraph" w:styleId="16">
    <w:name w:val="Subtitle"/>
    <w:qFormat/>
    <w:uiPriority w:val="11"/>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7">
    <w:name w:val="Title"/>
    <w:qFormat/>
    <w:uiPriority w:val="1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customStyle="1" w:styleId="20">
    <w:name w:val="页眉 字符"/>
    <w:basedOn w:val="19"/>
    <w:link w:val="2"/>
    <w:qFormat/>
    <w:uiPriority w:val="99"/>
    <w:rPr>
      <w:sz w:val="18"/>
      <w:szCs w:val="18"/>
    </w:rPr>
  </w:style>
  <w:style w:type="character" w:customStyle="1" w:styleId="21">
    <w:name w:val="页脚 字符"/>
    <w:basedOn w:val="19"/>
    <w:link w:val="15"/>
    <w:qFormat/>
    <w:uiPriority w:val="99"/>
    <w:rPr>
      <w:sz w:val="18"/>
      <w:szCs w:val="18"/>
    </w:rPr>
  </w:style>
  <w:style w:type="paragraph" w:styleId="22">
    <w:name w:val="List Paragraph"/>
    <w:basedOn w:val="1"/>
    <w:qFormat/>
    <w:uiPriority w:val="34"/>
    <w:pPr>
      <w:ind w:firstLine="420" w:firstLineChars="200"/>
    </w:pPr>
    <w:rPr>
      <w:rFonts w:ascii="Calibri" w:hAnsi="Calibri" w:eastAsia="宋体" w:cs="Times New Roman"/>
      <w:szCs w:val="24"/>
    </w:rPr>
  </w:style>
  <w:style w:type="character" w:customStyle="1" w:styleId="23">
    <w:name w:val="批注框文本 字符"/>
    <w:basedOn w:val="19"/>
    <w:link w:val="14"/>
    <w:semiHidden/>
    <w:uiPriority w:val="99"/>
    <w:rPr>
      <w:sz w:val="18"/>
      <w:szCs w:val="18"/>
    </w:rPr>
  </w:style>
  <w:style w:type="character" w:customStyle="1" w:styleId="24">
    <w:name w:val="font21"/>
    <w:basedOn w:val="19"/>
    <w:qFormat/>
    <w:uiPriority w:val="0"/>
    <w:rPr>
      <w:rFonts w:hint="eastAsia" w:ascii="宋体" w:hAnsi="宋体" w:eastAsia="宋体" w:cs="宋体"/>
      <w:color w:val="000000"/>
      <w:sz w:val="18"/>
      <w:szCs w:val="18"/>
      <w:u w:val="none"/>
    </w:rPr>
  </w:style>
  <w:style w:type="character" w:customStyle="1" w:styleId="25">
    <w:name w:val="font3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434</Words>
  <Characters>451</Characters>
  <Lines>2</Lines>
  <Paragraphs>1</Paragraphs>
  <TotalTime>252</TotalTime>
  <ScaleCrop>false</ScaleCrop>
  <LinksUpToDate>false</LinksUpToDate>
  <CharactersWithSpaces>452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2023-02-10T04:17:00Z</dcterms:created>
  <dc:creator>13580549141@163.com</dc:creator>
  <cp:lastModifiedBy>刘鹏飞</cp:lastModifiedBy>
  <cp:lastPrinted>2024-12-30T00:34:00Z</cp:lastPrinted>
  <dcterms:modified xsi:type="dcterms:W3CDTF">2026-06-15T02:06:40Z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eyJoZGlkIjoiOGVjMzFhNGE5ZDgzNWVmMjZiZjhmYWMwNjk0OTIxOTkiLCJ1c2VySWQiOiIxNjU3MTU4OTMzIn0=</vt:lpwstr>
  </property>
  <property fmtid="{D5CDD505-2E9C-101B-9397-08002B2CF9AE}" pid="3" name="KSOProductBuildVer">
    <vt:lpwstr>2052-12.1.0.26375</vt:lpwstr>
  </property>
  <property fmtid="{D5CDD505-2E9C-101B-9397-08002B2CF9AE}" pid="4" name="ICV">
    <vt:lpwstr>5414580D1C544E6EB9C119072A29E3A7_12</vt:lpwstr>
  </property>
</Properties>
</file>