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FB68C">
      <w:pPr>
        <w:pStyle w:val="8"/>
        <w:spacing w:before="312" w:beforeLines="100" w:line="360" w:lineRule="auto"/>
        <w:ind w:left="0" w:leftChars="0" w:firstLine="0" w:firstLineChars="0"/>
        <w:jc w:val="center"/>
        <w:rPr>
          <w:rFonts w:hint="default" w:cs="宋体" w:asciiTheme="minorEastAsia" w:hAnsiTheme="minorEastAsia" w:eastAsiaTheme="minorEastAsia"/>
          <w:b/>
          <w:bCs/>
          <w:sz w:val="28"/>
          <w:szCs w:val="28"/>
          <w:highlight w:val="none"/>
          <w:lang w:val="en-US" w:eastAsia="zh-CN"/>
        </w:rPr>
      </w:pPr>
      <w:r>
        <w:rPr>
          <w:rFonts w:hint="eastAsia" w:cs="宋体" w:asciiTheme="minorEastAsia" w:hAnsiTheme="minorEastAsia" w:eastAsiaTheme="minorEastAsia"/>
          <w:b/>
          <w:bCs/>
          <w:sz w:val="28"/>
          <w:szCs w:val="28"/>
          <w:highlight w:val="none"/>
          <w:lang w:eastAsia="zh-CN"/>
        </w:rPr>
        <w:t>手术动力系统2套3年维保服务</w:t>
      </w:r>
      <w:r>
        <w:rPr>
          <w:rFonts w:hint="eastAsia" w:cs="宋体" w:asciiTheme="minorEastAsia" w:hAnsiTheme="minorEastAsia" w:eastAsiaTheme="minorEastAsia"/>
          <w:b/>
          <w:bCs/>
          <w:sz w:val="28"/>
          <w:szCs w:val="28"/>
          <w:highlight w:val="none"/>
          <w:lang w:val="en-US" w:eastAsia="zh-CN"/>
        </w:rPr>
        <w:t xml:space="preserve"> 采购需求</w:t>
      </w:r>
    </w:p>
    <w:tbl>
      <w:tblPr>
        <w:tblStyle w:val="1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4E31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1A6AC5E8">
            <w:pPr>
              <w:pStyle w:val="8"/>
              <w:keepNext w:val="0"/>
              <w:keepLines w:val="0"/>
              <w:pageBreakBefore w:val="0"/>
              <w:kinsoku/>
              <w:wordWrap/>
              <w:overflowPunct/>
              <w:topLinePunct w:val="0"/>
              <w:autoSpaceDE/>
              <w:autoSpaceDN/>
              <w:bidi w:val="0"/>
              <w:spacing w:after="0" w:line="360" w:lineRule="auto"/>
              <w:ind w:left="0" w:leftChars="0" w:right="0" w:firstLine="0" w:firstLineChars="0"/>
              <w:jc w:val="both"/>
              <w:rPr>
                <w:rFonts w:cs="宋体" w:asciiTheme="minorEastAsia" w:hAnsiTheme="minorEastAsia" w:eastAsiaTheme="minorEastAsia"/>
                <w:b/>
                <w:bCs/>
                <w:spacing w:val="0"/>
                <w:sz w:val="20"/>
                <w:szCs w:val="20"/>
                <w:highlight w:val="none"/>
                <w:lang w:eastAsia="zh-CN"/>
              </w:rPr>
            </w:pPr>
            <w:r>
              <w:rPr>
                <w:rFonts w:hint="eastAsia" w:cs="宋体" w:asciiTheme="minorEastAsia" w:hAnsiTheme="minorEastAsia" w:eastAsiaTheme="minorEastAsia"/>
                <w:b/>
                <w:bCs/>
                <w:spacing w:val="0"/>
                <w:sz w:val="20"/>
                <w:szCs w:val="20"/>
                <w:highlight w:val="none"/>
                <w:lang w:eastAsia="zh-CN"/>
              </w:rPr>
              <w:t>一、总体概述及要求</w:t>
            </w:r>
          </w:p>
          <w:p w14:paraId="589AAF64">
            <w:pPr>
              <w:keepNext w:val="0"/>
              <w:keepLines w:val="0"/>
              <w:pageBreakBefore w:val="0"/>
              <w:kinsoku/>
              <w:wordWrap/>
              <w:overflowPunct/>
              <w:topLinePunct w:val="0"/>
              <w:autoSpaceDE/>
              <w:autoSpaceDN/>
              <w:bidi w:val="0"/>
              <w:spacing w:line="360" w:lineRule="auto"/>
              <w:ind w:right="0" w:firstLine="400" w:firstLineChars="200"/>
              <w:jc w:val="both"/>
              <w:rPr>
                <w:rFonts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1、本服务项目：是指采购人在用的宾格品牌的手术动力系统（型号：78SS80-SET-EN）两套三年维修保养服务，维保的项目为全保服务。服务期以合同约定为准。</w:t>
            </w:r>
          </w:p>
        </w:tc>
      </w:tr>
      <w:tr w14:paraId="15B0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486218ED">
            <w:pPr>
              <w:keepNext w:val="0"/>
              <w:keepLines w:val="0"/>
              <w:pageBreakBefore w:val="0"/>
              <w:kinsoku/>
              <w:wordWrap/>
              <w:overflowPunct/>
              <w:topLinePunct w:val="0"/>
              <w:autoSpaceDE/>
              <w:autoSpaceDN/>
              <w:bidi w:val="0"/>
              <w:spacing w:line="360" w:lineRule="auto"/>
              <w:ind w:right="0"/>
              <w:jc w:val="both"/>
              <w:rPr>
                <w:rFonts w:cs="宋体" w:asciiTheme="minorEastAsia" w:hAnsiTheme="minorEastAsia" w:eastAsiaTheme="minorEastAsia"/>
                <w:b/>
                <w:bCs/>
                <w:spacing w:val="0"/>
                <w:sz w:val="20"/>
                <w:szCs w:val="20"/>
                <w:highlight w:val="none"/>
                <w:lang w:eastAsia="zh-CN"/>
              </w:rPr>
            </w:pPr>
            <w:r>
              <w:rPr>
                <w:rFonts w:hint="eastAsia" w:cs="宋体" w:asciiTheme="minorEastAsia" w:hAnsiTheme="minorEastAsia" w:eastAsiaTheme="minorEastAsia"/>
                <w:b/>
                <w:bCs/>
                <w:spacing w:val="0"/>
                <w:sz w:val="20"/>
                <w:szCs w:val="20"/>
                <w:highlight w:val="none"/>
                <w:lang w:eastAsia="zh-CN"/>
              </w:rPr>
              <w:t>二、维护服务对象基本情况</w:t>
            </w:r>
          </w:p>
          <w:p w14:paraId="3D862D24">
            <w:pPr>
              <w:keepNext w:val="0"/>
              <w:keepLines w:val="0"/>
              <w:pageBreakBefore w:val="0"/>
              <w:kinsoku/>
              <w:wordWrap/>
              <w:overflowPunct/>
              <w:topLinePunct w:val="0"/>
              <w:autoSpaceDE/>
              <w:autoSpaceDN/>
              <w:bidi w:val="0"/>
              <w:spacing w:line="360" w:lineRule="auto"/>
              <w:ind w:right="0"/>
              <w:rPr>
                <w:rFonts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1、服务项目设备：两套宾格品牌的手术动力系统（型号：78SS80-SET-EN）。</w:t>
            </w:r>
          </w:p>
          <w:p w14:paraId="38E888D0">
            <w:pPr>
              <w:keepNext w:val="0"/>
              <w:keepLines w:val="0"/>
              <w:pageBreakBefore w:val="0"/>
              <w:kinsoku/>
              <w:wordWrap/>
              <w:overflowPunct/>
              <w:topLinePunct w:val="0"/>
              <w:autoSpaceDE/>
              <w:autoSpaceDN/>
              <w:bidi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2、设备使用情况：正常使用。</w:t>
            </w:r>
          </w:p>
          <w:p w14:paraId="6695AD27">
            <w:pPr>
              <w:keepNext w:val="0"/>
              <w:keepLines w:val="0"/>
              <w:pageBreakBefore w:val="0"/>
              <w:kinsoku/>
              <w:wordWrap/>
              <w:overflowPunct/>
              <w:topLinePunct w:val="0"/>
              <w:autoSpaceDE/>
              <w:autoSpaceDN/>
              <w:bidi w:val="0"/>
              <w:spacing w:line="360" w:lineRule="auto"/>
              <w:ind w:right="0"/>
              <w:rPr>
                <w:rFonts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3、服务意义：为应对该设备的损坏风险，及时修复故障，提高使用率，购买三年保修服务。</w:t>
            </w:r>
          </w:p>
        </w:tc>
      </w:tr>
      <w:tr w14:paraId="31A3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60927C3B">
            <w:pPr>
              <w:keepNext w:val="0"/>
              <w:keepLines w:val="0"/>
              <w:pageBreakBefore w:val="0"/>
              <w:kinsoku/>
              <w:wordWrap/>
              <w:overflowPunct/>
              <w:topLinePunct w:val="0"/>
              <w:autoSpaceDE/>
              <w:autoSpaceDN/>
              <w:bidi w:val="0"/>
              <w:spacing w:line="360" w:lineRule="auto"/>
              <w:ind w:right="0"/>
              <w:jc w:val="both"/>
              <w:rPr>
                <w:rFonts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b/>
                <w:bCs/>
                <w:spacing w:val="0"/>
                <w:sz w:val="20"/>
                <w:szCs w:val="20"/>
                <w:highlight w:val="none"/>
                <w:lang w:eastAsia="zh-CN"/>
              </w:rPr>
              <w:t>三、服务人员与服务时间</w:t>
            </w:r>
          </w:p>
          <w:p w14:paraId="60556D6A">
            <w:pPr>
              <w:keepNext w:val="0"/>
              <w:keepLines w:val="0"/>
              <w:pageBreakBefore w:val="0"/>
              <w:kinsoku/>
              <w:wordWrap/>
              <w:overflowPunct/>
              <w:topLinePunct w:val="0"/>
              <w:autoSpaceDE/>
              <w:autoSpaceDN/>
              <w:bidi w:val="0"/>
              <w:spacing w:line="360" w:lineRule="auto"/>
              <w:ind w:right="0"/>
              <w:rPr>
                <w:rFonts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1、投标人应设有固定人员提供服务， (提供服务人员清单或承诺函并标注在投标文件中)。</w:t>
            </w:r>
          </w:p>
          <w:p w14:paraId="494754CE">
            <w:pPr>
              <w:keepNext w:val="0"/>
              <w:keepLines w:val="0"/>
              <w:pageBreakBefore w:val="0"/>
              <w:kinsoku/>
              <w:wordWrap/>
              <w:overflowPunct/>
              <w:topLinePunct w:val="0"/>
              <w:autoSpaceDE/>
              <w:autoSpaceDN/>
              <w:bidi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▲2、要求投标人至少指定1名全职的工程师负责本项目，并持有厂家或相关能力培训合格的服务证明。（投标文件中提供工程师名单、联系方式及培训合格的证明文件并标注在投标文件中）。</w:t>
            </w:r>
          </w:p>
          <w:p w14:paraId="39A9A423">
            <w:pPr>
              <w:keepNext w:val="0"/>
              <w:keepLines w:val="0"/>
              <w:pageBreakBefore w:val="0"/>
              <w:kinsoku/>
              <w:wordWrap/>
              <w:overflowPunct/>
              <w:topLinePunct w:val="0"/>
              <w:autoSpaceDE/>
              <w:autoSpaceDN/>
              <w:bidi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3、电话响应：7*24小时电话支持服务；按照日历日，每日08:00-17:30现场服务。遇服务时间外的紧急现场加班服务，产生的加班费用由中标人承担。</w:t>
            </w:r>
          </w:p>
          <w:p w14:paraId="0DD8EA93">
            <w:pPr>
              <w:keepNext w:val="0"/>
              <w:keepLines w:val="0"/>
              <w:pageBreakBefore w:val="0"/>
              <w:kinsoku/>
              <w:wordWrap/>
              <w:overflowPunct/>
              <w:topLinePunct w:val="0"/>
              <w:autoSpaceDE/>
              <w:autoSpaceDN/>
              <w:bidi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4、如遇服务时间外的紧急加班服务，人员的紧急加班服务费用包含在本次报价中。</w:t>
            </w:r>
          </w:p>
        </w:tc>
      </w:tr>
      <w:tr w14:paraId="5A93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5C431C2E">
            <w:pPr>
              <w:keepNext w:val="0"/>
              <w:keepLines w:val="0"/>
              <w:pageBreakBefore w:val="0"/>
              <w:kinsoku/>
              <w:wordWrap/>
              <w:overflowPunct/>
              <w:topLinePunct w:val="0"/>
              <w:autoSpaceDE/>
              <w:autoSpaceDN/>
              <w:bidi w:val="0"/>
              <w:spacing w:line="360" w:lineRule="auto"/>
              <w:ind w:right="0"/>
              <w:rPr>
                <w:rFonts w:cs="宋体" w:asciiTheme="minorEastAsia" w:hAnsiTheme="minorEastAsia" w:eastAsiaTheme="minorEastAsia"/>
                <w:spacing w:val="0"/>
                <w:sz w:val="20"/>
                <w:szCs w:val="20"/>
                <w:highlight w:val="none"/>
                <w:lang w:eastAsia="zh-CN"/>
              </w:rPr>
            </w:pPr>
            <w:r>
              <w:rPr>
                <w:rFonts w:cs="宋体" w:asciiTheme="minorEastAsia" w:hAnsiTheme="minorEastAsia" w:eastAsiaTheme="minorEastAsia"/>
                <w:spacing w:val="0"/>
                <w:sz w:val="20"/>
                <w:szCs w:val="20"/>
                <w:highlight w:val="none"/>
                <w:lang w:eastAsia="zh-CN"/>
              </w:rPr>
              <w:t>四、</w:t>
            </w:r>
            <w:r>
              <w:rPr>
                <w:rFonts w:hint="eastAsia" w:cs="宋体" w:asciiTheme="minorEastAsia" w:hAnsiTheme="minorEastAsia" w:eastAsiaTheme="minorEastAsia"/>
                <w:b/>
                <w:bCs/>
                <w:spacing w:val="0"/>
                <w:sz w:val="20"/>
                <w:szCs w:val="20"/>
                <w:highlight w:val="none"/>
                <w:lang w:eastAsia="zh-CN"/>
              </w:rPr>
              <w:t>维修保养服务内容</w:t>
            </w:r>
            <w:r>
              <w:rPr>
                <w:rFonts w:cs="宋体" w:asciiTheme="minorEastAsia" w:hAnsiTheme="minorEastAsia" w:eastAsiaTheme="minorEastAsia"/>
                <w:spacing w:val="0"/>
                <w:sz w:val="20"/>
                <w:szCs w:val="20"/>
                <w:highlight w:val="none"/>
                <w:lang w:eastAsia="zh-CN"/>
              </w:rPr>
              <w:t>：</w:t>
            </w:r>
          </w:p>
          <w:p w14:paraId="4D156278">
            <w:pPr>
              <w:keepNext w:val="0"/>
              <w:keepLines w:val="0"/>
              <w:pageBreakBefore w:val="0"/>
              <w:kinsoku/>
              <w:wordWrap/>
              <w:overflowPunct/>
              <w:topLinePunct w:val="0"/>
              <w:autoSpaceDE/>
              <w:autoSpaceDN/>
              <w:bidi w:val="0"/>
              <w:spacing w:line="360" w:lineRule="auto"/>
              <w:ind w:right="0"/>
              <w:rPr>
                <w:rFonts w:cs="宋体" w:asciiTheme="minorEastAsia" w:hAnsiTheme="minorEastAsia" w:eastAsiaTheme="minorEastAsia"/>
                <w:spacing w:val="0"/>
                <w:sz w:val="20"/>
                <w:szCs w:val="20"/>
                <w:highlight w:val="none"/>
                <w:lang w:eastAsia="zh-CN"/>
              </w:rPr>
            </w:pPr>
            <w:r>
              <w:rPr>
                <w:rFonts w:cs="宋体" w:asciiTheme="minorEastAsia" w:hAnsiTheme="minorEastAsia" w:eastAsiaTheme="minorEastAsia"/>
                <w:spacing w:val="0"/>
                <w:sz w:val="20"/>
                <w:szCs w:val="20"/>
                <w:highlight w:val="none"/>
                <w:lang w:eastAsia="zh-CN"/>
              </w:rPr>
              <w:t>本服务项目投标人应提供包括但不限于以下服务：</w:t>
            </w:r>
          </w:p>
          <w:p w14:paraId="3833E216">
            <w:pPr>
              <w:keepNext w:val="0"/>
              <w:keepLines w:val="0"/>
              <w:pageBreakBefore w:val="0"/>
              <w:kinsoku/>
              <w:wordWrap/>
              <w:overflowPunct/>
              <w:topLinePunct w:val="0"/>
              <w:autoSpaceDE/>
              <w:autoSpaceDN/>
              <w:bidi w:val="0"/>
              <w:spacing w:line="360" w:lineRule="auto"/>
              <w:ind w:right="0"/>
              <w:rPr>
                <w:rFonts w:hint="default" w:cs="宋体" w:asciiTheme="minorEastAsia" w:hAnsiTheme="minorEastAsia" w:eastAsiaTheme="minorEastAsia"/>
                <w:spacing w:val="0"/>
                <w:sz w:val="20"/>
                <w:szCs w:val="20"/>
                <w:highlight w:val="none"/>
                <w:lang w:val="en-US" w:eastAsia="zh-CN"/>
              </w:rPr>
            </w:pPr>
            <w:r>
              <w:rPr>
                <w:rFonts w:hint="default" w:cs="宋体" w:asciiTheme="minorEastAsia" w:hAnsiTheme="minorEastAsia" w:eastAsiaTheme="minorEastAsia"/>
                <w:spacing w:val="0"/>
                <w:sz w:val="20"/>
                <w:szCs w:val="20"/>
                <w:highlight w:val="none"/>
                <w:lang w:val="en-US" w:eastAsia="zh-CN"/>
              </w:rPr>
              <w:t>▲1、维保服务期内，服务内容包含对设备进行维修，保养和更换配件，投标人承担配件、劳务和差旅等费用，不再收取除合同款外的其他费用。</w:t>
            </w:r>
          </w:p>
          <w:p w14:paraId="37C2ACEB">
            <w:pPr>
              <w:keepNext w:val="0"/>
              <w:keepLines w:val="0"/>
              <w:pageBreakBefore w:val="0"/>
              <w:kinsoku/>
              <w:wordWrap/>
              <w:overflowPunct/>
              <w:topLinePunct w:val="0"/>
              <w:autoSpaceDE/>
              <w:autoSpaceDN/>
              <w:bidi w:val="0"/>
              <w:spacing w:line="360" w:lineRule="auto"/>
              <w:ind w:right="0"/>
              <w:rPr>
                <w:rFonts w:hint="default" w:cs="宋体" w:asciiTheme="minorEastAsia" w:hAnsiTheme="minorEastAsia" w:eastAsiaTheme="minorEastAsia"/>
                <w:spacing w:val="0"/>
                <w:sz w:val="20"/>
                <w:szCs w:val="20"/>
                <w:highlight w:val="none"/>
                <w:lang w:val="en-US" w:eastAsia="zh-CN"/>
              </w:rPr>
            </w:pPr>
            <w:r>
              <w:rPr>
                <w:rFonts w:hint="default" w:cs="宋体" w:asciiTheme="minorEastAsia" w:hAnsiTheme="minorEastAsia" w:eastAsiaTheme="minorEastAsia"/>
                <w:spacing w:val="0"/>
                <w:sz w:val="20"/>
                <w:szCs w:val="20"/>
                <w:highlight w:val="none"/>
                <w:lang w:val="en-US" w:eastAsia="zh-CN"/>
              </w:rPr>
              <w:t>2、服务设备常规一年</w:t>
            </w:r>
            <w:r>
              <w:rPr>
                <w:rFonts w:hint="eastAsia" w:cs="宋体" w:asciiTheme="minorEastAsia" w:hAnsiTheme="minorEastAsia" w:eastAsiaTheme="minorEastAsia"/>
                <w:spacing w:val="0"/>
                <w:sz w:val="20"/>
                <w:szCs w:val="20"/>
                <w:highlight w:val="none"/>
                <w:lang w:val="en-US" w:eastAsia="zh-CN"/>
              </w:rPr>
              <w:t>6</w:t>
            </w:r>
            <w:r>
              <w:rPr>
                <w:rFonts w:hint="default" w:cs="宋体" w:asciiTheme="minorEastAsia" w:hAnsiTheme="minorEastAsia" w:eastAsiaTheme="minorEastAsia"/>
                <w:spacing w:val="0"/>
                <w:sz w:val="20"/>
                <w:szCs w:val="20"/>
                <w:highlight w:val="none"/>
                <w:lang w:val="en-US" w:eastAsia="zh-CN"/>
              </w:rPr>
              <w:t>次保养及预防性维护，包括设备的安全检查、除尘保养及运行状态检查、定期更换设备易损部件等；以上服务中标人应按采购人要求提交保养报告。如采购人有需要，中标人可提供培训服务，且培训服务费已包含在合同总价中，不另外收取。</w:t>
            </w:r>
          </w:p>
          <w:p w14:paraId="71F1FC18">
            <w:pPr>
              <w:keepNext w:val="0"/>
              <w:keepLines w:val="0"/>
              <w:pageBreakBefore w:val="0"/>
              <w:kinsoku/>
              <w:wordWrap/>
              <w:overflowPunct/>
              <w:topLinePunct w:val="0"/>
              <w:autoSpaceDE/>
              <w:autoSpaceDN/>
              <w:bidi w:val="0"/>
              <w:spacing w:line="360" w:lineRule="auto"/>
              <w:ind w:right="0"/>
              <w:rPr>
                <w:rFonts w:hint="default" w:cs="宋体" w:asciiTheme="minorEastAsia" w:hAnsiTheme="minorEastAsia" w:eastAsiaTheme="minorEastAsia"/>
                <w:spacing w:val="0"/>
                <w:sz w:val="20"/>
                <w:szCs w:val="20"/>
                <w:highlight w:val="none"/>
                <w:lang w:val="en-US" w:eastAsia="zh-CN"/>
              </w:rPr>
            </w:pPr>
            <w:r>
              <w:rPr>
                <w:rFonts w:hint="default" w:cs="宋体" w:asciiTheme="minorEastAsia" w:hAnsiTheme="minorEastAsia" w:eastAsiaTheme="minorEastAsia"/>
                <w:spacing w:val="0"/>
                <w:sz w:val="20"/>
                <w:szCs w:val="20"/>
                <w:highlight w:val="none"/>
                <w:lang w:val="en-US" w:eastAsia="zh-CN"/>
              </w:rPr>
              <w:t>▲3、中标人应在项目所在地设有维修联络处，在项目所在地具有常用备件库，为所保设备保证备件的存储并优先提供备件的发货及维修更换。（投标文件需提供相关证明材料或承诺函并标注在投标文件中  页）</w:t>
            </w:r>
          </w:p>
          <w:p w14:paraId="2AD5D6E8">
            <w:pPr>
              <w:keepNext w:val="0"/>
              <w:keepLines w:val="0"/>
              <w:pageBreakBefore w:val="0"/>
              <w:kinsoku/>
              <w:wordWrap/>
              <w:overflowPunct/>
              <w:topLinePunct w:val="0"/>
              <w:autoSpaceDE/>
              <w:autoSpaceDN/>
              <w:bidi w:val="0"/>
              <w:spacing w:line="360" w:lineRule="auto"/>
              <w:ind w:right="0"/>
              <w:rPr>
                <w:rFonts w:hint="default" w:cs="宋体" w:asciiTheme="minorEastAsia" w:hAnsiTheme="minorEastAsia" w:eastAsiaTheme="minorEastAsia"/>
                <w:spacing w:val="0"/>
                <w:sz w:val="20"/>
                <w:szCs w:val="20"/>
                <w:highlight w:val="none"/>
                <w:lang w:val="en-US" w:eastAsia="zh-CN"/>
              </w:rPr>
            </w:pPr>
            <w:r>
              <w:rPr>
                <w:rFonts w:hint="default" w:cs="宋体" w:asciiTheme="minorEastAsia" w:hAnsiTheme="minorEastAsia" w:eastAsiaTheme="minorEastAsia"/>
                <w:spacing w:val="0"/>
                <w:sz w:val="20"/>
                <w:szCs w:val="20"/>
                <w:highlight w:val="none"/>
                <w:lang w:val="en-US" w:eastAsia="zh-CN"/>
              </w:rPr>
              <w:t>4、当所保设备出现故障时，中标人收到采购人的报修通知后应及时派工程师进行指导或赴现场维修，如无法及时维修，中标人应及时通知采购人，并可提供备用机给采购人临时使用以保证业务正常开展。</w:t>
            </w:r>
          </w:p>
          <w:p w14:paraId="5801F980">
            <w:pPr>
              <w:keepNext w:val="0"/>
              <w:keepLines w:val="0"/>
              <w:pageBreakBefore w:val="0"/>
              <w:kinsoku/>
              <w:wordWrap/>
              <w:overflowPunct/>
              <w:topLinePunct w:val="0"/>
              <w:autoSpaceDE/>
              <w:autoSpaceDN/>
              <w:bidi w:val="0"/>
              <w:spacing w:line="360" w:lineRule="auto"/>
              <w:ind w:right="0"/>
              <w:rPr>
                <w:rFonts w:hint="default" w:cs="宋体" w:asciiTheme="minorEastAsia" w:hAnsiTheme="minorEastAsia" w:eastAsiaTheme="minorEastAsia"/>
                <w:spacing w:val="0"/>
                <w:sz w:val="20"/>
                <w:szCs w:val="20"/>
                <w:highlight w:val="none"/>
                <w:lang w:val="en-US" w:eastAsia="zh-CN"/>
              </w:rPr>
            </w:pPr>
            <w:r>
              <w:rPr>
                <w:rFonts w:hint="default" w:cs="宋体" w:asciiTheme="minorEastAsia" w:hAnsiTheme="minorEastAsia" w:eastAsiaTheme="minorEastAsia"/>
                <w:spacing w:val="0"/>
                <w:sz w:val="20"/>
                <w:szCs w:val="20"/>
                <w:highlight w:val="none"/>
                <w:lang w:val="en-US" w:eastAsia="zh-CN"/>
              </w:rPr>
              <w:t>5、每年度服务结束后中标人应提交年度服务报告，至少包括维修情况、服务总结、设备运行情况分析、设备存在问题、建议及后续整改措施等。</w:t>
            </w:r>
          </w:p>
          <w:p w14:paraId="55CB7693">
            <w:pPr>
              <w:keepNext w:val="0"/>
              <w:keepLines w:val="0"/>
              <w:pageBreakBefore w:val="0"/>
              <w:kinsoku/>
              <w:wordWrap/>
              <w:overflowPunct/>
              <w:topLinePunct w:val="0"/>
              <w:autoSpaceDE/>
              <w:autoSpaceDN/>
              <w:bidi w:val="0"/>
              <w:spacing w:line="360" w:lineRule="auto"/>
              <w:ind w:right="0"/>
              <w:rPr>
                <w:rFonts w:hint="default" w:cs="宋体" w:asciiTheme="minorEastAsia" w:hAnsiTheme="minorEastAsia" w:eastAsiaTheme="minorEastAsia"/>
                <w:spacing w:val="0"/>
                <w:sz w:val="20"/>
                <w:szCs w:val="20"/>
                <w:highlight w:val="none"/>
                <w:lang w:val="en-US" w:eastAsia="zh-CN"/>
              </w:rPr>
            </w:pPr>
            <w:r>
              <w:rPr>
                <w:rFonts w:hint="default" w:cs="宋体" w:asciiTheme="minorEastAsia" w:hAnsiTheme="minorEastAsia" w:eastAsiaTheme="minorEastAsia"/>
                <w:spacing w:val="0"/>
                <w:sz w:val="20"/>
                <w:szCs w:val="20"/>
                <w:highlight w:val="none"/>
                <w:lang w:val="en-US" w:eastAsia="zh-CN"/>
              </w:rPr>
              <w:t>6、维保信息记录完整，要求每次维保服务有工单，每台设备有状态标识及现场维保记录，每次服务可溯源。（投标文件提供投标人自有设计的服务工单、状态标识相关模板并标注在投标文件中）</w:t>
            </w:r>
          </w:p>
        </w:tc>
      </w:tr>
      <w:tr w14:paraId="0316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4807D784">
            <w:pPr>
              <w:keepNext w:val="0"/>
              <w:keepLines w:val="0"/>
              <w:pageBreakBefore w:val="0"/>
              <w:tabs>
                <w:tab w:val="left" w:pos="360"/>
              </w:tabs>
              <w:kinsoku/>
              <w:wordWrap/>
              <w:overflowPunct/>
              <w:topLinePunct w:val="0"/>
              <w:autoSpaceDE/>
              <w:autoSpaceDN/>
              <w:bidi w:val="0"/>
              <w:spacing w:line="360" w:lineRule="auto"/>
              <w:ind w:right="0"/>
              <w:jc w:val="both"/>
              <w:rPr>
                <w:rFonts w:cs="宋体" w:asciiTheme="minorEastAsia" w:hAnsiTheme="minorEastAsia" w:eastAsiaTheme="minorEastAsia"/>
                <w:b/>
                <w:bCs/>
                <w:spacing w:val="0"/>
                <w:sz w:val="20"/>
                <w:szCs w:val="20"/>
                <w:highlight w:val="none"/>
                <w:lang w:eastAsia="zh-CN"/>
              </w:rPr>
            </w:pPr>
            <w:r>
              <w:rPr>
                <w:rFonts w:hint="eastAsia" w:cs="宋体" w:asciiTheme="minorEastAsia" w:hAnsiTheme="minorEastAsia" w:eastAsiaTheme="minorEastAsia"/>
                <w:b/>
                <w:bCs/>
                <w:spacing w:val="0"/>
                <w:sz w:val="20"/>
                <w:szCs w:val="20"/>
                <w:highlight w:val="none"/>
                <w:lang w:eastAsia="zh-CN"/>
              </w:rPr>
              <w:t>五、标准响应时间</w:t>
            </w:r>
          </w:p>
          <w:p w14:paraId="2604F77D">
            <w:pPr>
              <w:keepNext w:val="0"/>
              <w:keepLines w:val="0"/>
              <w:pageBreakBefore w:val="0"/>
              <w:kinsoku/>
              <w:wordWrap/>
              <w:overflowPunct/>
              <w:topLinePunct w:val="0"/>
              <w:autoSpaceDE/>
              <w:autoSpaceDN/>
              <w:bidi w:val="0"/>
              <w:adjustRightInd w:val="0"/>
              <w:snapToGrid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1、响应时间为30分钟内电话处理。</w:t>
            </w:r>
          </w:p>
          <w:p w14:paraId="7CB77F93">
            <w:pPr>
              <w:keepNext w:val="0"/>
              <w:keepLines w:val="0"/>
              <w:pageBreakBefore w:val="0"/>
              <w:kinsoku/>
              <w:wordWrap/>
              <w:overflowPunct/>
              <w:topLinePunct w:val="0"/>
              <w:autoSpaceDE/>
              <w:autoSpaceDN/>
              <w:bidi w:val="0"/>
              <w:adjustRightInd w:val="0"/>
              <w:snapToGrid w:val="0"/>
              <w:spacing w:line="360" w:lineRule="auto"/>
              <w:ind w:right="0"/>
              <w:rPr>
                <w:rFonts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2、现场响应时间：8个小时内。如设备故障严重，无法在24小时内修复，中标人有义务提供解决方案，并保证在3个日历日内使设备恢复正常运行；如在3个日历日内无法使设备恢复正常运行，中标人有义务优先提供备机（备机要求能实现原机的基本功能，品牌型号不限），并保证尽快修复，同时采购人有权另行聘请第三方予以解决，以上所发生的费用由中标人承担。若中标人在采购人报修后1日不能提供有效服务的，则每延迟1日，本项目维保服务期限自动延长3个日历日，造成采购人损失的，中标人应承担全部赔偿责任。</w:t>
            </w:r>
          </w:p>
        </w:tc>
      </w:tr>
      <w:tr w14:paraId="3467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00D6BCF8">
            <w:pPr>
              <w:keepNext w:val="0"/>
              <w:keepLines w:val="0"/>
              <w:pageBreakBefore w:val="0"/>
              <w:kinsoku/>
              <w:wordWrap/>
              <w:overflowPunct/>
              <w:topLinePunct w:val="0"/>
              <w:autoSpaceDE/>
              <w:autoSpaceDN/>
              <w:bidi w:val="0"/>
              <w:adjustRightInd w:val="0"/>
              <w:snapToGrid w:val="0"/>
              <w:spacing w:line="360" w:lineRule="auto"/>
              <w:ind w:right="0"/>
              <w:rPr>
                <w:rFonts w:hint="eastAsia" w:cs="宋体" w:asciiTheme="minorEastAsia" w:hAnsiTheme="minorEastAsia" w:eastAsiaTheme="minorEastAsia"/>
                <w:b/>
                <w:bCs/>
                <w:spacing w:val="0"/>
                <w:sz w:val="20"/>
                <w:szCs w:val="20"/>
                <w:highlight w:val="none"/>
                <w:lang w:eastAsia="zh-CN"/>
              </w:rPr>
            </w:pPr>
            <w:r>
              <w:rPr>
                <w:rFonts w:hint="eastAsia" w:cs="宋体" w:asciiTheme="minorEastAsia" w:hAnsiTheme="minorEastAsia" w:eastAsiaTheme="minorEastAsia"/>
                <w:b/>
                <w:bCs/>
                <w:spacing w:val="0"/>
                <w:sz w:val="20"/>
                <w:szCs w:val="20"/>
                <w:highlight w:val="none"/>
                <w:lang w:eastAsia="zh-CN"/>
              </w:rPr>
              <w:t>六、考核制度</w:t>
            </w:r>
          </w:p>
          <w:p w14:paraId="3BDC907A">
            <w:pPr>
              <w:keepNext w:val="0"/>
              <w:keepLines w:val="0"/>
              <w:pageBreakBefore w:val="0"/>
              <w:kinsoku/>
              <w:wordWrap/>
              <w:overflowPunct/>
              <w:topLinePunct w:val="0"/>
              <w:autoSpaceDE/>
              <w:autoSpaceDN/>
              <w:bidi w:val="0"/>
              <w:adjustRightInd w:val="0"/>
              <w:snapToGrid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1、属于“服务内容”范围内的工作，维修服务单均要使用科室人员签名确认。</w:t>
            </w:r>
          </w:p>
          <w:p w14:paraId="1DCCA1CD">
            <w:pPr>
              <w:keepNext w:val="0"/>
              <w:keepLines w:val="0"/>
              <w:pageBreakBefore w:val="0"/>
              <w:kinsoku/>
              <w:wordWrap/>
              <w:overflowPunct/>
              <w:topLinePunct w:val="0"/>
              <w:autoSpaceDE/>
              <w:autoSpaceDN/>
              <w:bidi w:val="0"/>
              <w:adjustRightInd w:val="0"/>
              <w:snapToGrid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2、保证开机率：在服务时间内（每天24小时，全年365个日历日），对所保设备开机率承诺保证达到95%，即正常开机达到346.75个日历日，停机不超过18.25个日历日。当开机率低于95%，每降低1%，维保期顺延30个日历日。当开机率低于90%，将被视为严重违约，采购人有权单方解除合同，中标人须向采购人退还该开机率未达标对应服务时间的全部维修保养等费用以及中标人未提供或未按约提供维修保养服务时间部分的合同款项；如采购人同意不解除合同，中标人应根据每降低【1】%，维保期顺延【30】个日历日的比例折算为设备延保的时间，同时，中标人应按合同总金额的10%向采购人支付违约金，违约金不足以弥补采购人损失的，中标人应另行赔偿。</w:t>
            </w:r>
          </w:p>
        </w:tc>
      </w:tr>
      <w:tr w14:paraId="2BCD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13146274">
            <w:pPr>
              <w:keepNext w:val="0"/>
              <w:keepLines w:val="0"/>
              <w:pageBreakBefore w:val="0"/>
              <w:kinsoku/>
              <w:wordWrap/>
              <w:overflowPunct/>
              <w:topLinePunct w:val="0"/>
              <w:autoSpaceDE/>
              <w:autoSpaceDN/>
              <w:bidi w:val="0"/>
              <w:adjustRightInd w:val="0"/>
              <w:snapToGrid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b/>
                <w:bCs/>
                <w:spacing w:val="0"/>
                <w:sz w:val="20"/>
                <w:szCs w:val="20"/>
                <w:highlight w:val="none"/>
                <w:lang w:eastAsia="zh-CN"/>
              </w:rPr>
              <w:t>七、技术咨询及培训服务</w:t>
            </w:r>
            <w:r>
              <w:rPr>
                <w:rFonts w:hint="eastAsia" w:cs="宋体" w:asciiTheme="minorEastAsia" w:hAnsiTheme="minorEastAsia" w:eastAsiaTheme="minorEastAsia"/>
                <w:spacing w:val="0"/>
                <w:sz w:val="20"/>
                <w:szCs w:val="20"/>
                <w:highlight w:val="none"/>
                <w:lang w:eastAsia="zh-CN"/>
              </w:rPr>
              <w:t>：服务期内，中标人应提供设备使用咨询及必要的现场培训服务，相关费用包含在投标报价中。</w:t>
            </w:r>
          </w:p>
        </w:tc>
      </w:tr>
      <w:tr w14:paraId="1821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4BAB98ED">
            <w:pPr>
              <w:keepNext w:val="0"/>
              <w:keepLines w:val="0"/>
              <w:pageBreakBefore w:val="0"/>
              <w:kinsoku/>
              <w:wordWrap/>
              <w:overflowPunct/>
              <w:topLinePunct w:val="0"/>
              <w:autoSpaceDE/>
              <w:autoSpaceDN/>
              <w:bidi w:val="0"/>
              <w:adjustRightInd w:val="0"/>
              <w:snapToGrid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b/>
                <w:bCs/>
                <w:spacing w:val="0"/>
                <w:sz w:val="20"/>
                <w:szCs w:val="20"/>
                <w:highlight w:val="none"/>
                <w:lang w:eastAsia="zh-CN"/>
              </w:rPr>
              <w:t>八、指定联系人、联系方式：</w:t>
            </w:r>
            <w:r>
              <w:rPr>
                <w:rFonts w:hint="eastAsia" w:cs="宋体" w:asciiTheme="minorEastAsia" w:hAnsiTheme="minorEastAsia" w:eastAsiaTheme="minorEastAsia"/>
                <w:spacing w:val="0"/>
                <w:sz w:val="20"/>
                <w:szCs w:val="20"/>
                <w:highlight w:val="none"/>
                <w:lang w:eastAsia="zh-CN"/>
              </w:rPr>
              <w:t>中标人指定专人负责本项目的维护及联系工作，如更换联系人，应提前告知，并经采购人书面同意。（投标文件中提供指定联系人名单及联系方式，并标注在投标文件中）。</w:t>
            </w:r>
          </w:p>
        </w:tc>
      </w:tr>
      <w:tr w14:paraId="086F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6DF27E07">
            <w:pPr>
              <w:keepNext w:val="0"/>
              <w:keepLines w:val="0"/>
              <w:pageBreakBefore w:val="0"/>
              <w:kinsoku/>
              <w:wordWrap/>
              <w:overflowPunct/>
              <w:topLinePunct w:val="0"/>
              <w:autoSpaceDE/>
              <w:autoSpaceDN/>
              <w:bidi w:val="0"/>
              <w:adjustRightInd w:val="0"/>
              <w:snapToGrid w:val="0"/>
              <w:spacing w:line="360" w:lineRule="auto"/>
              <w:ind w:right="0"/>
              <w:rPr>
                <w:rFonts w:hint="eastAsia"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w:t>
            </w:r>
            <w:r>
              <w:rPr>
                <w:rFonts w:hint="eastAsia" w:cs="宋体" w:asciiTheme="minorEastAsia" w:hAnsiTheme="minorEastAsia" w:eastAsiaTheme="minorEastAsia"/>
                <w:b/>
                <w:bCs/>
                <w:spacing w:val="0"/>
                <w:sz w:val="20"/>
                <w:szCs w:val="20"/>
                <w:highlight w:val="none"/>
                <w:lang w:eastAsia="zh-CN"/>
              </w:rPr>
              <w:t>九</w:t>
            </w:r>
            <w:r>
              <w:rPr>
                <w:rFonts w:hint="eastAsia" w:cs="宋体" w:asciiTheme="minorEastAsia" w:hAnsiTheme="minorEastAsia" w:eastAsiaTheme="minorEastAsia"/>
                <w:spacing w:val="0"/>
                <w:sz w:val="20"/>
                <w:szCs w:val="20"/>
                <w:highlight w:val="none"/>
                <w:lang w:eastAsia="zh-CN"/>
              </w:rPr>
              <w:t>、投标人在投标文件中提供本项目维保设备生产制造厂家关于维保售后服务的授权或技术合作协议,或提供核心配件的正规渠道采购记录复印件。（提供证明文件并标注在投标文件中）</w:t>
            </w:r>
          </w:p>
        </w:tc>
      </w:tr>
      <w:tr w14:paraId="1D89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7"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115EC24D">
            <w:pPr>
              <w:keepNext w:val="0"/>
              <w:keepLines w:val="0"/>
              <w:pageBreakBefore w:val="0"/>
              <w:kinsoku/>
              <w:wordWrap/>
              <w:overflowPunct/>
              <w:topLinePunct w:val="0"/>
              <w:autoSpaceDE/>
              <w:autoSpaceDN/>
              <w:bidi w:val="0"/>
              <w:spacing w:line="360" w:lineRule="auto"/>
              <w:ind w:right="0"/>
              <w:outlineLvl w:val="2"/>
              <w:rPr>
                <w:rFonts w:ascii="宋体" w:hAnsi="宋体" w:eastAsia="宋体" w:cs="宋体"/>
                <w:b/>
                <w:bCs/>
                <w:color w:val="auto"/>
                <w:spacing w:val="0"/>
                <w:sz w:val="20"/>
                <w:szCs w:val="20"/>
                <w:highlight w:val="none"/>
                <w:lang w:eastAsia="zh-CN"/>
              </w:rPr>
            </w:pPr>
            <w:r>
              <w:rPr>
                <w:rFonts w:hint="eastAsia" w:ascii="宋体" w:hAnsi="宋体" w:eastAsia="宋体" w:cs="宋体"/>
                <w:b/>
                <w:bCs/>
                <w:color w:val="auto"/>
                <w:spacing w:val="0"/>
                <w:sz w:val="20"/>
                <w:szCs w:val="20"/>
                <w:highlight w:val="none"/>
                <w:lang w:val="en-US" w:eastAsia="zh-CN"/>
              </w:rPr>
              <w:t>十、</w:t>
            </w:r>
            <w:r>
              <w:rPr>
                <w:rFonts w:hint="eastAsia" w:ascii="宋体" w:hAnsi="宋体" w:eastAsia="宋体" w:cs="宋体"/>
                <w:b/>
                <w:bCs/>
                <w:color w:val="auto"/>
                <w:spacing w:val="0"/>
                <w:sz w:val="20"/>
                <w:szCs w:val="20"/>
                <w:highlight w:val="none"/>
                <w:lang w:eastAsia="zh-CN"/>
              </w:rPr>
              <w:t>商务要求</w:t>
            </w:r>
          </w:p>
          <w:tbl>
            <w:tblPr>
              <w:tblStyle w:val="10"/>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381"/>
            </w:tblGrid>
            <w:tr w14:paraId="32F5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698" w:type="dxa"/>
                  <w:vAlign w:val="center"/>
                </w:tcPr>
                <w:p w14:paraId="288EA559">
                  <w:pPr>
                    <w:pStyle w:val="9"/>
                    <w:keepNext w:val="0"/>
                    <w:keepLines w:val="0"/>
                    <w:pageBreakBefore w:val="0"/>
                    <w:kinsoku/>
                    <w:wordWrap/>
                    <w:overflowPunct/>
                    <w:topLinePunct w:val="0"/>
                    <w:autoSpaceDE/>
                    <w:autoSpaceDN/>
                    <w:bidi w:val="0"/>
                    <w:spacing w:after="0" w:line="360" w:lineRule="auto"/>
                    <w:ind w:left="0" w:leftChars="0" w:right="0" w:firstLine="0" w:firstLineChars="0"/>
                    <w:jc w:val="center"/>
                    <w:rPr>
                      <w:rFonts w:ascii="宋体" w:hAnsi="宋体" w:eastAsia="宋体" w:cs="宋体"/>
                      <w:color w:val="auto"/>
                      <w:spacing w:val="0"/>
                      <w:sz w:val="20"/>
                      <w:szCs w:val="20"/>
                      <w:highlight w:val="none"/>
                      <w:lang w:eastAsia="zh-CN"/>
                    </w:rPr>
                  </w:pPr>
                  <w:r>
                    <w:rPr>
                      <w:rStyle w:val="12"/>
                      <w:rFonts w:hint="eastAsia" w:ascii="宋体" w:hAnsi="宋体" w:eastAsia="宋体" w:cs="宋体"/>
                      <w:color w:val="auto"/>
                      <w:spacing w:val="0"/>
                      <w:sz w:val="20"/>
                      <w:szCs w:val="20"/>
                      <w:highlight w:val="none"/>
                      <w:lang w:eastAsia="zh-CN"/>
                    </w:rPr>
                    <w:t>标的提供的时间/服务期限</w:t>
                  </w:r>
                </w:p>
              </w:tc>
              <w:tc>
                <w:tcPr>
                  <w:tcW w:w="7381" w:type="dxa"/>
                  <w:vAlign w:val="center"/>
                </w:tcPr>
                <w:p w14:paraId="1A558189">
                  <w:pPr>
                    <w:pStyle w:val="9"/>
                    <w:keepNext w:val="0"/>
                    <w:keepLines w:val="0"/>
                    <w:pageBreakBefore w:val="0"/>
                    <w:kinsoku/>
                    <w:wordWrap/>
                    <w:overflowPunct/>
                    <w:topLinePunct w:val="0"/>
                    <w:autoSpaceDE/>
                    <w:autoSpaceDN/>
                    <w:bidi w:val="0"/>
                    <w:spacing w:after="0" w:line="360" w:lineRule="auto"/>
                    <w:ind w:left="0" w:leftChars="0" w:right="0" w:firstLine="0" w:firstLineChars="0"/>
                    <w:jc w:val="both"/>
                    <w:rPr>
                      <w:rFonts w:ascii="宋体" w:hAnsi="宋体" w:eastAsia="宋体" w:cs="宋体"/>
                      <w:color w:val="auto"/>
                      <w:spacing w:val="0"/>
                      <w:sz w:val="20"/>
                      <w:szCs w:val="20"/>
                      <w:highlight w:val="none"/>
                      <w:lang w:eastAsia="zh-CN"/>
                    </w:rPr>
                  </w:pPr>
                  <w:r>
                    <w:rPr>
                      <w:rFonts w:hint="eastAsia" w:ascii="宋体" w:hAnsi="宋体" w:eastAsia="宋体" w:cs="宋体"/>
                      <w:color w:val="auto"/>
                      <w:spacing w:val="0"/>
                      <w:sz w:val="20"/>
                      <w:szCs w:val="20"/>
                      <w:highlight w:val="none"/>
                      <w:lang w:eastAsia="zh-CN"/>
                    </w:rPr>
                    <w:t>自双方合同签订之日起三年。</w:t>
                  </w:r>
                </w:p>
              </w:tc>
            </w:tr>
            <w:tr w14:paraId="2FC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98" w:type="dxa"/>
                  <w:vAlign w:val="center"/>
                </w:tcPr>
                <w:p w14:paraId="3C2F3CA6">
                  <w:pPr>
                    <w:pStyle w:val="9"/>
                    <w:keepNext w:val="0"/>
                    <w:keepLines w:val="0"/>
                    <w:pageBreakBefore w:val="0"/>
                    <w:kinsoku/>
                    <w:wordWrap/>
                    <w:overflowPunct/>
                    <w:topLinePunct w:val="0"/>
                    <w:autoSpaceDE/>
                    <w:autoSpaceDN/>
                    <w:bidi w:val="0"/>
                    <w:spacing w:after="0" w:line="360" w:lineRule="auto"/>
                    <w:ind w:left="0" w:leftChars="0" w:right="0" w:firstLine="0" w:firstLineChars="0"/>
                    <w:jc w:val="center"/>
                    <w:rPr>
                      <w:rFonts w:ascii="宋体" w:hAnsi="宋体" w:eastAsia="宋体" w:cs="宋体"/>
                      <w:color w:val="auto"/>
                      <w:spacing w:val="0"/>
                      <w:sz w:val="20"/>
                      <w:szCs w:val="20"/>
                      <w:highlight w:val="none"/>
                      <w:lang w:eastAsia="zh-CN"/>
                    </w:rPr>
                  </w:pPr>
                  <w:r>
                    <w:rPr>
                      <w:rFonts w:hint="eastAsia" w:ascii="宋体" w:hAnsi="宋体" w:eastAsia="宋体" w:cs="宋体"/>
                      <w:color w:val="auto"/>
                      <w:spacing w:val="0"/>
                      <w:sz w:val="20"/>
                      <w:szCs w:val="20"/>
                      <w:highlight w:val="none"/>
                      <w:lang w:eastAsia="zh-CN"/>
                    </w:rPr>
                    <w:t>标的提供的地点</w:t>
                  </w:r>
                </w:p>
              </w:tc>
              <w:tc>
                <w:tcPr>
                  <w:tcW w:w="7381" w:type="dxa"/>
                  <w:vAlign w:val="center"/>
                </w:tcPr>
                <w:p w14:paraId="67F86E1D">
                  <w:pPr>
                    <w:pStyle w:val="9"/>
                    <w:keepNext w:val="0"/>
                    <w:keepLines w:val="0"/>
                    <w:pageBreakBefore w:val="0"/>
                    <w:kinsoku/>
                    <w:wordWrap/>
                    <w:overflowPunct/>
                    <w:topLinePunct w:val="0"/>
                    <w:autoSpaceDE/>
                    <w:autoSpaceDN/>
                    <w:bidi w:val="0"/>
                    <w:spacing w:after="0" w:line="360" w:lineRule="auto"/>
                    <w:ind w:left="0" w:leftChars="0" w:right="0" w:firstLine="0" w:firstLineChars="0"/>
                    <w:jc w:val="both"/>
                    <w:rPr>
                      <w:rFonts w:ascii="宋体" w:hAnsi="宋体" w:eastAsia="宋体" w:cs="宋体"/>
                      <w:color w:val="auto"/>
                      <w:spacing w:val="0"/>
                      <w:sz w:val="20"/>
                      <w:szCs w:val="20"/>
                      <w:highlight w:val="none"/>
                      <w:lang w:eastAsia="zh-CN"/>
                    </w:rPr>
                  </w:pPr>
                  <w:r>
                    <w:rPr>
                      <w:rFonts w:hint="eastAsia" w:ascii="宋体" w:hAnsi="宋体" w:eastAsia="宋体" w:cs="宋体"/>
                      <w:color w:val="auto"/>
                      <w:spacing w:val="0"/>
                      <w:sz w:val="20"/>
                      <w:szCs w:val="20"/>
                      <w:highlight w:val="none"/>
                      <w:lang w:eastAsia="zh-CN"/>
                    </w:rPr>
                    <w:t>采购人指定地点</w:t>
                  </w:r>
                </w:p>
              </w:tc>
            </w:tr>
            <w:tr w14:paraId="79B5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8" w:type="dxa"/>
                  <w:vAlign w:val="center"/>
                </w:tcPr>
                <w:p w14:paraId="0DDF7148">
                  <w:pPr>
                    <w:pStyle w:val="9"/>
                    <w:keepNext w:val="0"/>
                    <w:keepLines w:val="0"/>
                    <w:pageBreakBefore w:val="0"/>
                    <w:kinsoku/>
                    <w:wordWrap/>
                    <w:overflowPunct/>
                    <w:topLinePunct w:val="0"/>
                    <w:autoSpaceDE/>
                    <w:autoSpaceDN/>
                    <w:bidi w:val="0"/>
                    <w:spacing w:after="0" w:line="360" w:lineRule="auto"/>
                    <w:ind w:left="0" w:leftChars="0" w:right="0" w:firstLine="0" w:firstLineChars="0"/>
                    <w:jc w:val="center"/>
                    <w:rPr>
                      <w:rFonts w:ascii="宋体" w:hAnsi="宋体" w:eastAsia="宋体" w:cs="宋体"/>
                      <w:color w:val="auto"/>
                      <w:spacing w:val="0"/>
                      <w:sz w:val="20"/>
                      <w:szCs w:val="20"/>
                      <w:highlight w:val="none"/>
                      <w:lang w:eastAsia="zh-CN"/>
                    </w:rPr>
                  </w:pPr>
                  <w:r>
                    <w:rPr>
                      <w:rFonts w:hint="eastAsia" w:ascii="宋体" w:hAnsi="宋体" w:eastAsia="宋体" w:cs="宋体"/>
                      <w:color w:val="auto"/>
                      <w:spacing w:val="0"/>
                      <w:sz w:val="20"/>
                      <w:szCs w:val="20"/>
                      <w:highlight w:val="none"/>
                      <w:lang w:eastAsia="zh-CN"/>
                    </w:rPr>
                    <w:t>投标有效期</w:t>
                  </w:r>
                </w:p>
              </w:tc>
              <w:tc>
                <w:tcPr>
                  <w:tcW w:w="7381" w:type="dxa"/>
                  <w:vAlign w:val="center"/>
                </w:tcPr>
                <w:p w14:paraId="16F60FFB">
                  <w:pPr>
                    <w:pStyle w:val="9"/>
                    <w:keepNext w:val="0"/>
                    <w:keepLines w:val="0"/>
                    <w:pageBreakBefore w:val="0"/>
                    <w:kinsoku/>
                    <w:wordWrap/>
                    <w:overflowPunct/>
                    <w:topLinePunct w:val="0"/>
                    <w:autoSpaceDE/>
                    <w:autoSpaceDN/>
                    <w:bidi w:val="0"/>
                    <w:spacing w:after="0" w:line="360" w:lineRule="auto"/>
                    <w:ind w:left="0" w:leftChars="0" w:right="0" w:firstLine="0" w:firstLineChars="0"/>
                    <w:jc w:val="both"/>
                    <w:rPr>
                      <w:rFonts w:ascii="宋体" w:hAnsi="宋体" w:eastAsia="宋体" w:cs="宋体"/>
                      <w:color w:val="auto"/>
                      <w:spacing w:val="0"/>
                      <w:sz w:val="20"/>
                      <w:szCs w:val="20"/>
                      <w:highlight w:val="none"/>
                      <w:lang w:eastAsia="zh-CN"/>
                    </w:rPr>
                  </w:pPr>
                  <w:r>
                    <w:rPr>
                      <w:rFonts w:hint="eastAsia" w:ascii="宋体" w:hAnsi="宋体" w:eastAsia="宋体" w:cs="宋体"/>
                      <w:color w:val="auto"/>
                      <w:spacing w:val="0"/>
                      <w:sz w:val="20"/>
                      <w:szCs w:val="20"/>
                      <w:highlight w:val="none"/>
                      <w:lang w:eastAsia="zh-CN"/>
                    </w:rPr>
                    <w:t>从提交投标文件的截止之日起90日</w:t>
                  </w:r>
                </w:p>
              </w:tc>
            </w:tr>
            <w:tr w14:paraId="6149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8" w:hRule="atLeast"/>
                <w:jc w:val="center"/>
              </w:trPr>
              <w:tc>
                <w:tcPr>
                  <w:tcW w:w="1698" w:type="dxa"/>
                  <w:vAlign w:val="center"/>
                </w:tcPr>
                <w:p w14:paraId="0F13EC9B">
                  <w:pPr>
                    <w:pStyle w:val="9"/>
                    <w:keepNext w:val="0"/>
                    <w:keepLines w:val="0"/>
                    <w:pageBreakBefore w:val="0"/>
                    <w:kinsoku/>
                    <w:wordWrap/>
                    <w:overflowPunct/>
                    <w:topLinePunct w:val="0"/>
                    <w:autoSpaceDE/>
                    <w:autoSpaceDN/>
                    <w:bidi w:val="0"/>
                    <w:spacing w:after="0" w:line="360" w:lineRule="auto"/>
                    <w:ind w:left="0" w:leftChars="0" w:right="0" w:firstLine="0" w:firstLineChars="0"/>
                    <w:jc w:val="center"/>
                    <w:rPr>
                      <w:rFonts w:ascii="宋体" w:hAnsi="宋体" w:eastAsia="宋体" w:cs="宋体"/>
                      <w:color w:val="auto"/>
                      <w:spacing w:val="0"/>
                      <w:sz w:val="20"/>
                      <w:szCs w:val="20"/>
                      <w:highlight w:val="none"/>
                      <w:lang w:eastAsia="zh-CN"/>
                    </w:rPr>
                  </w:pPr>
                  <w:r>
                    <w:rPr>
                      <w:rFonts w:hint="eastAsia" w:ascii="宋体" w:hAnsi="宋体" w:eastAsia="宋体" w:cs="宋体"/>
                      <w:color w:val="auto"/>
                      <w:spacing w:val="0"/>
                      <w:sz w:val="20"/>
                      <w:szCs w:val="20"/>
                      <w:highlight w:val="none"/>
                      <w:lang w:val="sv-SE" w:eastAsia="zh-CN"/>
                    </w:rPr>
                    <w:t>★</w:t>
                  </w:r>
                  <w:r>
                    <w:rPr>
                      <w:rFonts w:hint="eastAsia" w:ascii="宋体" w:hAnsi="宋体" w:eastAsia="宋体" w:cs="宋体"/>
                      <w:color w:val="auto"/>
                      <w:spacing w:val="0"/>
                      <w:sz w:val="20"/>
                      <w:szCs w:val="20"/>
                      <w:highlight w:val="none"/>
                      <w:lang w:eastAsia="zh-CN"/>
                    </w:rPr>
                    <w:t>付款方式</w:t>
                  </w:r>
                </w:p>
              </w:tc>
              <w:tc>
                <w:tcPr>
                  <w:tcW w:w="7381" w:type="dxa"/>
                  <w:vAlign w:val="center"/>
                </w:tcPr>
                <w:p w14:paraId="2D372241">
                  <w:pPr>
                    <w:pStyle w:val="9"/>
                    <w:keepNext w:val="0"/>
                    <w:keepLines w:val="0"/>
                    <w:pageBreakBefore w:val="0"/>
                    <w:numPr>
                      <w:ilvl w:val="255"/>
                      <w:numId w:val="0"/>
                    </w:numPr>
                    <w:kinsoku/>
                    <w:wordWrap/>
                    <w:overflowPunct/>
                    <w:topLinePunct w:val="0"/>
                    <w:autoSpaceDE/>
                    <w:autoSpaceDN/>
                    <w:bidi w:val="0"/>
                    <w:spacing w:after="0" w:line="360" w:lineRule="auto"/>
                    <w:ind w:right="0"/>
                    <w:jc w:val="both"/>
                    <w:rPr>
                      <w:rFonts w:ascii="宋体" w:hAnsi="宋体" w:eastAsia="宋体" w:cs="宋体"/>
                      <w:color w:val="auto"/>
                      <w:spacing w:val="0"/>
                      <w:sz w:val="20"/>
                      <w:szCs w:val="20"/>
                      <w:highlight w:val="none"/>
                      <w:lang w:eastAsia="zh-CN"/>
                    </w:rPr>
                  </w:pPr>
                  <w:r>
                    <w:rPr>
                      <w:rFonts w:hint="eastAsia" w:ascii="宋体" w:hAnsi="宋体" w:eastAsia="宋体" w:cs="宋体"/>
                      <w:color w:val="auto"/>
                      <w:spacing w:val="0"/>
                      <w:sz w:val="20"/>
                      <w:szCs w:val="20"/>
                      <w:highlight w:val="none"/>
                      <w:lang w:eastAsia="zh-CN"/>
                    </w:rPr>
                    <w:t>中标人无不履行或不适当履行本合同项下义务的情况下，且服务质量考核合格（附件</w:t>
                  </w:r>
                  <w:r>
                    <w:rPr>
                      <w:rFonts w:ascii="宋体" w:hAnsi="宋体" w:eastAsia="宋体" w:cs="宋体"/>
                      <w:color w:val="auto"/>
                      <w:spacing w:val="0"/>
                      <w:sz w:val="20"/>
                      <w:szCs w:val="20"/>
                      <w:highlight w:val="none"/>
                      <w:lang w:eastAsia="zh-CN"/>
                    </w:rPr>
                    <w:t>2</w:t>
                  </w:r>
                  <w:r>
                    <w:rPr>
                      <w:rFonts w:hint="eastAsia" w:ascii="宋体" w:hAnsi="宋体" w:eastAsia="宋体" w:cs="宋体"/>
                      <w:color w:val="auto"/>
                      <w:spacing w:val="0"/>
                      <w:sz w:val="20"/>
                      <w:szCs w:val="20"/>
                      <w:highlight w:val="none"/>
                      <w:lang w:eastAsia="zh-CN"/>
                    </w:rPr>
                    <w:t>，</w:t>
                  </w:r>
                  <w:r>
                    <w:rPr>
                      <w:rFonts w:ascii="宋体" w:hAnsi="宋体" w:eastAsia="宋体" w:cs="宋体"/>
                      <w:color w:val="auto"/>
                      <w:spacing w:val="0"/>
                      <w:sz w:val="20"/>
                      <w:szCs w:val="20"/>
                      <w:highlight w:val="none"/>
                      <w:lang w:eastAsia="zh-CN"/>
                    </w:rPr>
                    <w:t>90</w:t>
                  </w:r>
                  <w:r>
                    <w:rPr>
                      <w:rFonts w:hint="eastAsia" w:ascii="宋体" w:hAnsi="宋体" w:eastAsia="宋体" w:cs="宋体"/>
                      <w:color w:val="auto"/>
                      <w:spacing w:val="0"/>
                      <w:sz w:val="20"/>
                      <w:szCs w:val="20"/>
                      <w:highlight w:val="none"/>
                      <w:lang w:eastAsia="zh-CN"/>
                    </w:rPr>
                    <w:t>分以上），采购人按以下方式付款。</w:t>
                  </w:r>
                </w:p>
                <w:p w14:paraId="7885E857">
                  <w:pPr>
                    <w:pStyle w:val="9"/>
                    <w:keepNext w:val="0"/>
                    <w:keepLines w:val="0"/>
                    <w:pageBreakBefore w:val="0"/>
                    <w:numPr>
                      <w:ilvl w:val="255"/>
                      <w:numId w:val="0"/>
                    </w:numPr>
                    <w:kinsoku/>
                    <w:wordWrap/>
                    <w:overflowPunct/>
                    <w:topLinePunct w:val="0"/>
                    <w:autoSpaceDE/>
                    <w:autoSpaceDN/>
                    <w:bidi w:val="0"/>
                    <w:spacing w:after="0" w:line="360" w:lineRule="auto"/>
                    <w:ind w:right="0"/>
                    <w:jc w:val="both"/>
                    <w:rPr>
                      <w:rFonts w:ascii="宋体" w:hAnsi="宋体" w:eastAsia="宋体" w:cs="宋体"/>
                      <w:color w:val="auto"/>
                      <w:spacing w:val="0"/>
                      <w:sz w:val="20"/>
                      <w:szCs w:val="20"/>
                      <w:highlight w:val="none"/>
                      <w:lang w:eastAsia="zh-CN"/>
                    </w:rPr>
                  </w:pPr>
                  <w:r>
                    <w:rPr>
                      <w:rFonts w:ascii="宋体" w:hAnsi="宋体" w:eastAsia="宋体" w:cs="宋体"/>
                      <w:color w:val="auto"/>
                      <w:spacing w:val="0"/>
                      <w:sz w:val="20"/>
                      <w:szCs w:val="20"/>
                      <w:highlight w:val="none"/>
                      <w:lang w:eastAsia="zh-CN"/>
                    </w:rPr>
                    <w:t>1</w:t>
                  </w:r>
                  <w:r>
                    <w:rPr>
                      <w:rFonts w:hint="eastAsia" w:ascii="宋体" w:hAnsi="宋体" w:eastAsia="宋体" w:cs="宋体"/>
                      <w:color w:val="auto"/>
                      <w:spacing w:val="0"/>
                      <w:sz w:val="20"/>
                      <w:szCs w:val="20"/>
                      <w:highlight w:val="none"/>
                      <w:lang w:eastAsia="zh-CN"/>
                    </w:rPr>
                    <w:t>期：支付比例</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，合同的第</w:t>
                  </w:r>
                  <w:r>
                    <w:rPr>
                      <w:rFonts w:ascii="宋体" w:hAnsi="宋体" w:eastAsia="宋体" w:cs="宋体"/>
                      <w:color w:val="auto"/>
                      <w:spacing w:val="0"/>
                      <w:sz w:val="20"/>
                      <w:szCs w:val="20"/>
                      <w:highlight w:val="none"/>
                      <w:lang w:eastAsia="zh-CN"/>
                    </w:rPr>
                    <w:t>1</w:t>
                  </w:r>
                  <w:r>
                    <w:rPr>
                      <w:rFonts w:hint="eastAsia" w:ascii="宋体" w:hAnsi="宋体" w:eastAsia="宋体" w:cs="宋体"/>
                      <w:color w:val="auto"/>
                      <w:spacing w:val="0"/>
                      <w:sz w:val="20"/>
                      <w:szCs w:val="20"/>
                      <w:highlight w:val="none"/>
                      <w:lang w:eastAsia="zh-CN"/>
                    </w:rPr>
                    <w:t>年，在中标人提供当年服务满六个月后，中标人提交服务报告，从届满之日起</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个日历日内开具发票，采购人在收齐服务报告及发票之日起</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个日历日内，向中标人支付合同总金额的</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w:t>
                  </w:r>
                </w:p>
                <w:p w14:paraId="571A6D1D">
                  <w:pPr>
                    <w:pStyle w:val="9"/>
                    <w:keepNext w:val="0"/>
                    <w:keepLines w:val="0"/>
                    <w:pageBreakBefore w:val="0"/>
                    <w:numPr>
                      <w:ilvl w:val="255"/>
                      <w:numId w:val="0"/>
                    </w:numPr>
                    <w:kinsoku/>
                    <w:wordWrap/>
                    <w:overflowPunct/>
                    <w:topLinePunct w:val="0"/>
                    <w:autoSpaceDE/>
                    <w:autoSpaceDN/>
                    <w:bidi w:val="0"/>
                    <w:spacing w:after="0" w:line="360" w:lineRule="auto"/>
                    <w:ind w:right="0"/>
                    <w:jc w:val="both"/>
                    <w:rPr>
                      <w:rFonts w:ascii="宋体" w:hAnsi="宋体" w:eastAsia="宋体" w:cs="宋体"/>
                      <w:color w:val="auto"/>
                      <w:spacing w:val="0"/>
                      <w:sz w:val="20"/>
                      <w:szCs w:val="20"/>
                      <w:highlight w:val="none"/>
                      <w:lang w:eastAsia="zh-CN"/>
                    </w:rPr>
                  </w:pPr>
                  <w:r>
                    <w:rPr>
                      <w:rFonts w:ascii="宋体" w:hAnsi="宋体" w:eastAsia="宋体" w:cs="宋体"/>
                      <w:color w:val="auto"/>
                      <w:spacing w:val="0"/>
                      <w:sz w:val="20"/>
                      <w:szCs w:val="20"/>
                      <w:highlight w:val="none"/>
                      <w:lang w:eastAsia="zh-CN"/>
                    </w:rPr>
                    <w:t>2</w:t>
                  </w:r>
                  <w:r>
                    <w:rPr>
                      <w:rFonts w:hint="eastAsia" w:ascii="宋体" w:hAnsi="宋体" w:eastAsia="宋体" w:cs="宋体"/>
                      <w:color w:val="auto"/>
                      <w:spacing w:val="0"/>
                      <w:sz w:val="20"/>
                      <w:szCs w:val="20"/>
                      <w:highlight w:val="none"/>
                      <w:lang w:eastAsia="zh-CN"/>
                    </w:rPr>
                    <w:t>期：支付比例</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，合同的第</w:t>
                  </w:r>
                  <w:r>
                    <w:rPr>
                      <w:rFonts w:ascii="宋体" w:hAnsi="宋体" w:eastAsia="宋体" w:cs="宋体"/>
                      <w:color w:val="auto"/>
                      <w:spacing w:val="0"/>
                      <w:sz w:val="20"/>
                      <w:szCs w:val="20"/>
                      <w:highlight w:val="none"/>
                      <w:lang w:eastAsia="zh-CN"/>
                    </w:rPr>
                    <w:t>2</w:t>
                  </w:r>
                  <w:r>
                    <w:rPr>
                      <w:rFonts w:hint="eastAsia" w:ascii="宋体" w:hAnsi="宋体" w:eastAsia="宋体" w:cs="宋体"/>
                      <w:color w:val="auto"/>
                      <w:spacing w:val="0"/>
                      <w:sz w:val="20"/>
                      <w:szCs w:val="20"/>
                      <w:highlight w:val="none"/>
                      <w:lang w:eastAsia="zh-CN"/>
                    </w:rPr>
                    <w:t>年，在中标人提供当年服务满六个月后，中标人提交服务报告，从届满之日起</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个日历日内开具发票，采购人在收齐服务报告及发票之日起</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个日历日内，向中标人支付合同总金额的</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w:t>
                  </w:r>
                </w:p>
                <w:p w14:paraId="0FE45582">
                  <w:pPr>
                    <w:pStyle w:val="9"/>
                    <w:keepNext w:val="0"/>
                    <w:keepLines w:val="0"/>
                    <w:pageBreakBefore w:val="0"/>
                    <w:numPr>
                      <w:ilvl w:val="255"/>
                      <w:numId w:val="0"/>
                    </w:numPr>
                    <w:kinsoku/>
                    <w:wordWrap/>
                    <w:overflowPunct/>
                    <w:topLinePunct w:val="0"/>
                    <w:autoSpaceDE/>
                    <w:autoSpaceDN/>
                    <w:bidi w:val="0"/>
                    <w:spacing w:after="0" w:line="360" w:lineRule="auto"/>
                    <w:ind w:right="0"/>
                    <w:jc w:val="both"/>
                    <w:rPr>
                      <w:rFonts w:ascii="宋体" w:hAnsi="宋体" w:eastAsia="宋体" w:cs="宋体"/>
                      <w:color w:val="auto"/>
                      <w:spacing w:val="0"/>
                      <w:sz w:val="20"/>
                      <w:szCs w:val="20"/>
                      <w:highlight w:val="none"/>
                      <w:lang w:eastAsia="zh-CN"/>
                    </w:rPr>
                  </w:pPr>
                  <w:r>
                    <w:rPr>
                      <w:rFonts w:ascii="宋体" w:hAnsi="宋体" w:eastAsia="宋体" w:cs="宋体"/>
                      <w:color w:val="auto"/>
                      <w:spacing w:val="0"/>
                      <w:sz w:val="20"/>
                      <w:szCs w:val="20"/>
                      <w:highlight w:val="none"/>
                      <w:lang w:eastAsia="zh-CN"/>
                    </w:rPr>
                    <w:t>3</w:t>
                  </w:r>
                  <w:r>
                    <w:rPr>
                      <w:rFonts w:hint="eastAsia" w:ascii="宋体" w:hAnsi="宋体" w:eastAsia="宋体" w:cs="宋体"/>
                      <w:color w:val="auto"/>
                      <w:spacing w:val="0"/>
                      <w:sz w:val="20"/>
                      <w:szCs w:val="20"/>
                      <w:highlight w:val="none"/>
                      <w:lang w:eastAsia="zh-CN"/>
                    </w:rPr>
                    <w:t>期：支付比例</w:t>
                  </w:r>
                  <w:r>
                    <w:rPr>
                      <w:rFonts w:ascii="宋体" w:hAnsi="宋体" w:eastAsia="宋体" w:cs="宋体"/>
                      <w:color w:val="auto"/>
                      <w:spacing w:val="0"/>
                      <w:sz w:val="20"/>
                      <w:szCs w:val="20"/>
                      <w:highlight w:val="none"/>
                      <w:lang w:eastAsia="zh-CN"/>
                    </w:rPr>
                    <w:t>35%</w:t>
                  </w:r>
                  <w:r>
                    <w:rPr>
                      <w:rFonts w:hint="eastAsia" w:ascii="宋体" w:hAnsi="宋体" w:eastAsia="宋体" w:cs="宋体"/>
                      <w:color w:val="auto"/>
                      <w:spacing w:val="0"/>
                      <w:sz w:val="20"/>
                      <w:szCs w:val="20"/>
                      <w:highlight w:val="none"/>
                      <w:lang w:eastAsia="zh-CN"/>
                    </w:rPr>
                    <w:t>，合同的第</w:t>
                  </w:r>
                  <w:r>
                    <w:rPr>
                      <w:rFonts w:ascii="宋体" w:hAnsi="宋体" w:eastAsia="宋体" w:cs="宋体"/>
                      <w:color w:val="auto"/>
                      <w:spacing w:val="0"/>
                      <w:sz w:val="20"/>
                      <w:szCs w:val="20"/>
                      <w:highlight w:val="none"/>
                      <w:lang w:eastAsia="zh-CN"/>
                    </w:rPr>
                    <w:t>3</w:t>
                  </w:r>
                  <w:r>
                    <w:rPr>
                      <w:rFonts w:hint="eastAsia" w:ascii="宋体" w:hAnsi="宋体" w:eastAsia="宋体" w:cs="宋体"/>
                      <w:color w:val="auto"/>
                      <w:spacing w:val="0"/>
                      <w:sz w:val="20"/>
                      <w:szCs w:val="20"/>
                      <w:highlight w:val="none"/>
                      <w:lang w:eastAsia="zh-CN"/>
                    </w:rPr>
                    <w:t>年，在中标人提供当年服务满六个月后，中标人提交服务报告，从届满之日起</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个日历日内开具发票，采购人在收齐服务报告及发票之日起</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个日历日内，向中标人支付合同总金额的</w:t>
                  </w:r>
                  <w:r>
                    <w:rPr>
                      <w:rFonts w:ascii="宋体" w:hAnsi="宋体" w:eastAsia="宋体" w:cs="宋体"/>
                      <w:color w:val="auto"/>
                      <w:spacing w:val="0"/>
                      <w:sz w:val="20"/>
                      <w:szCs w:val="20"/>
                      <w:highlight w:val="none"/>
                      <w:lang w:eastAsia="zh-CN"/>
                    </w:rPr>
                    <w:t>35%</w:t>
                  </w:r>
                  <w:r>
                    <w:rPr>
                      <w:rFonts w:hint="eastAsia" w:ascii="宋体" w:hAnsi="宋体" w:eastAsia="宋体" w:cs="宋体"/>
                      <w:color w:val="auto"/>
                      <w:spacing w:val="0"/>
                      <w:sz w:val="20"/>
                      <w:szCs w:val="20"/>
                      <w:highlight w:val="none"/>
                      <w:lang w:eastAsia="zh-CN"/>
                    </w:rPr>
                    <w:t>；</w:t>
                  </w:r>
                </w:p>
                <w:p w14:paraId="2F906E05">
                  <w:pPr>
                    <w:pStyle w:val="9"/>
                    <w:keepNext w:val="0"/>
                    <w:keepLines w:val="0"/>
                    <w:pageBreakBefore w:val="0"/>
                    <w:numPr>
                      <w:ilvl w:val="255"/>
                      <w:numId w:val="0"/>
                    </w:numPr>
                    <w:kinsoku/>
                    <w:wordWrap/>
                    <w:overflowPunct/>
                    <w:topLinePunct w:val="0"/>
                    <w:autoSpaceDE/>
                    <w:autoSpaceDN/>
                    <w:bidi w:val="0"/>
                    <w:spacing w:after="0" w:line="360" w:lineRule="auto"/>
                    <w:ind w:right="0"/>
                    <w:jc w:val="both"/>
                    <w:rPr>
                      <w:rFonts w:ascii="宋体" w:hAnsi="宋体" w:eastAsia="宋体" w:cs="宋体"/>
                      <w:color w:val="auto"/>
                      <w:spacing w:val="0"/>
                      <w:sz w:val="20"/>
                      <w:szCs w:val="20"/>
                      <w:highlight w:val="none"/>
                      <w:lang w:eastAsia="zh-CN"/>
                    </w:rPr>
                  </w:pPr>
                  <w:r>
                    <w:rPr>
                      <w:rFonts w:ascii="宋体" w:hAnsi="宋体" w:eastAsia="宋体" w:cs="宋体"/>
                      <w:color w:val="auto"/>
                      <w:spacing w:val="0"/>
                      <w:sz w:val="20"/>
                      <w:szCs w:val="20"/>
                      <w:highlight w:val="none"/>
                      <w:lang w:eastAsia="zh-CN"/>
                    </w:rPr>
                    <w:t>4</w:t>
                  </w:r>
                  <w:r>
                    <w:rPr>
                      <w:rFonts w:hint="eastAsia" w:ascii="宋体" w:hAnsi="宋体" w:eastAsia="宋体" w:cs="宋体"/>
                      <w:color w:val="auto"/>
                      <w:spacing w:val="0"/>
                      <w:sz w:val="20"/>
                      <w:szCs w:val="20"/>
                      <w:highlight w:val="none"/>
                      <w:lang w:eastAsia="zh-CN"/>
                    </w:rPr>
                    <w:t>期：支付比例</w:t>
                  </w:r>
                  <w:r>
                    <w:rPr>
                      <w:rFonts w:ascii="宋体" w:hAnsi="宋体" w:eastAsia="宋体" w:cs="宋体"/>
                      <w:color w:val="auto"/>
                      <w:spacing w:val="0"/>
                      <w:sz w:val="20"/>
                      <w:szCs w:val="20"/>
                      <w:highlight w:val="none"/>
                      <w:lang w:eastAsia="zh-CN"/>
                    </w:rPr>
                    <w:t>5%</w:t>
                  </w:r>
                  <w:r>
                    <w:rPr>
                      <w:rFonts w:hint="eastAsia" w:ascii="宋体" w:hAnsi="宋体" w:eastAsia="宋体" w:cs="宋体"/>
                      <w:color w:val="auto"/>
                      <w:spacing w:val="0"/>
                      <w:sz w:val="20"/>
                      <w:szCs w:val="20"/>
                      <w:highlight w:val="none"/>
                      <w:lang w:eastAsia="zh-CN"/>
                    </w:rPr>
                    <w:t>，合同期满后，中标人应从期满之日起</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个日历日内向采购人提供服务报告、开具发票。采购人在收齐服务报告及等额有效发票后</w:t>
                  </w:r>
                  <w:r>
                    <w:rPr>
                      <w:rFonts w:ascii="宋体" w:hAnsi="宋体" w:eastAsia="宋体" w:cs="宋体"/>
                      <w:color w:val="auto"/>
                      <w:spacing w:val="0"/>
                      <w:sz w:val="20"/>
                      <w:szCs w:val="20"/>
                      <w:highlight w:val="none"/>
                      <w:lang w:eastAsia="zh-CN"/>
                    </w:rPr>
                    <w:t>30</w:t>
                  </w:r>
                  <w:r>
                    <w:rPr>
                      <w:rFonts w:hint="eastAsia" w:ascii="宋体" w:hAnsi="宋体" w:eastAsia="宋体" w:cs="宋体"/>
                      <w:color w:val="auto"/>
                      <w:spacing w:val="0"/>
                      <w:sz w:val="20"/>
                      <w:szCs w:val="20"/>
                      <w:highlight w:val="none"/>
                      <w:lang w:eastAsia="zh-CN"/>
                    </w:rPr>
                    <w:t>个日历日内将合同总金额的</w:t>
                  </w:r>
                  <w:r>
                    <w:rPr>
                      <w:rFonts w:ascii="宋体" w:hAnsi="宋体" w:eastAsia="宋体" w:cs="宋体"/>
                      <w:color w:val="auto"/>
                      <w:spacing w:val="0"/>
                      <w:sz w:val="20"/>
                      <w:szCs w:val="20"/>
                      <w:highlight w:val="none"/>
                      <w:lang w:eastAsia="zh-CN"/>
                    </w:rPr>
                    <w:t>5%</w:t>
                  </w:r>
                  <w:r>
                    <w:rPr>
                      <w:rFonts w:hint="eastAsia" w:ascii="宋体" w:hAnsi="宋体" w:eastAsia="宋体" w:cs="宋体"/>
                      <w:color w:val="auto"/>
                      <w:spacing w:val="0"/>
                      <w:sz w:val="20"/>
                      <w:szCs w:val="20"/>
                      <w:highlight w:val="none"/>
                      <w:lang w:eastAsia="zh-CN"/>
                    </w:rPr>
                    <w:t>支付给中标人。</w:t>
                  </w:r>
                </w:p>
                <w:p w14:paraId="68C84867">
                  <w:pPr>
                    <w:pStyle w:val="9"/>
                    <w:keepNext w:val="0"/>
                    <w:keepLines w:val="0"/>
                    <w:pageBreakBefore w:val="0"/>
                    <w:numPr>
                      <w:ilvl w:val="255"/>
                      <w:numId w:val="0"/>
                    </w:numPr>
                    <w:kinsoku/>
                    <w:wordWrap/>
                    <w:overflowPunct/>
                    <w:topLinePunct w:val="0"/>
                    <w:autoSpaceDE/>
                    <w:autoSpaceDN/>
                    <w:bidi w:val="0"/>
                    <w:spacing w:after="0" w:line="360" w:lineRule="auto"/>
                    <w:ind w:right="0"/>
                    <w:jc w:val="both"/>
                    <w:rPr>
                      <w:rFonts w:ascii="宋体" w:hAnsi="宋体" w:eastAsia="宋体" w:cs="宋体"/>
                      <w:color w:val="auto"/>
                      <w:spacing w:val="0"/>
                      <w:sz w:val="20"/>
                      <w:szCs w:val="20"/>
                      <w:highlight w:val="none"/>
                      <w:lang w:eastAsia="zh-CN"/>
                    </w:rPr>
                  </w:pPr>
                  <w:r>
                    <w:rPr>
                      <w:rFonts w:hint="eastAsia" w:ascii="宋体" w:hAnsi="宋体" w:eastAsia="宋体" w:cs="宋体"/>
                      <w:color w:val="auto"/>
                      <w:spacing w:val="0"/>
                      <w:sz w:val="20"/>
                      <w:szCs w:val="20"/>
                      <w:highlight w:val="none"/>
                      <w:lang w:eastAsia="zh-CN"/>
                    </w:rPr>
                    <w:t>每次支付相关款项前，中标人须提前向采购人提供合法有效的等额增值税普通发票及合格的服务报告，否则采购人有权不支付款项或顺延付款，无需承担任何迟延付款责任。如出现验收不合格、中标人不履行或不适当履行本合同项下义务、考核不合格等情形的，采购人有权不支付或顺延支付款项。若未支付款项不足以弥补采购人因中标人不履行或不适当履行本合同项下义务所造成的损失的，中标人应另行赔偿采购人的损失。</w:t>
                  </w:r>
                </w:p>
              </w:tc>
            </w:tr>
          </w:tbl>
          <w:p w14:paraId="0FA6CAAE">
            <w:pPr>
              <w:keepNext w:val="0"/>
              <w:keepLines w:val="0"/>
              <w:pageBreakBefore w:val="0"/>
              <w:kinsoku/>
              <w:wordWrap/>
              <w:overflowPunct/>
              <w:topLinePunct w:val="0"/>
              <w:autoSpaceDE/>
              <w:autoSpaceDN/>
              <w:bidi w:val="0"/>
              <w:adjustRightInd w:val="0"/>
              <w:snapToGrid w:val="0"/>
              <w:spacing w:line="360" w:lineRule="auto"/>
              <w:ind w:right="0"/>
              <w:rPr>
                <w:rFonts w:hint="eastAsia" w:cs="宋体" w:asciiTheme="minorEastAsia" w:hAnsiTheme="minorEastAsia" w:eastAsiaTheme="minorEastAsia"/>
                <w:spacing w:val="0"/>
                <w:sz w:val="20"/>
                <w:szCs w:val="20"/>
                <w:highlight w:val="none"/>
                <w:lang w:eastAsia="zh-CN"/>
              </w:rPr>
            </w:pPr>
          </w:p>
        </w:tc>
      </w:tr>
      <w:tr w14:paraId="6CD2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5" w:type="dxa"/>
            <w:tcBorders>
              <w:top w:val="single" w:color="auto" w:sz="4" w:space="0"/>
              <w:left w:val="single" w:color="auto" w:sz="4" w:space="0"/>
              <w:bottom w:val="single" w:color="auto" w:sz="4" w:space="0"/>
              <w:right w:val="single" w:color="auto" w:sz="4" w:space="0"/>
            </w:tcBorders>
            <w:vAlign w:val="center"/>
          </w:tcPr>
          <w:p w14:paraId="320F5BA6">
            <w:pPr>
              <w:keepNext w:val="0"/>
              <w:keepLines w:val="0"/>
              <w:pageBreakBefore w:val="0"/>
              <w:tabs>
                <w:tab w:val="left" w:pos="360"/>
              </w:tabs>
              <w:kinsoku/>
              <w:wordWrap/>
              <w:overflowPunct/>
              <w:topLinePunct w:val="0"/>
              <w:autoSpaceDE/>
              <w:autoSpaceDN/>
              <w:bidi w:val="0"/>
              <w:spacing w:line="360" w:lineRule="auto"/>
              <w:ind w:right="0"/>
              <w:rPr>
                <w:rFonts w:cs="宋体" w:asciiTheme="minorEastAsia" w:hAnsiTheme="minorEastAsia" w:eastAsiaTheme="minorEastAsia"/>
                <w:spacing w:val="0"/>
                <w:sz w:val="20"/>
                <w:szCs w:val="20"/>
                <w:highlight w:val="none"/>
                <w:lang w:eastAsia="zh-CN"/>
              </w:rPr>
            </w:pPr>
            <w:r>
              <w:rPr>
                <w:rFonts w:hint="eastAsia" w:cs="宋体" w:asciiTheme="minorEastAsia" w:hAnsiTheme="minorEastAsia" w:eastAsiaTheme="minorEastAsia"/>
                <w:b/>
                <w:bCs/>
                <w:spacing w:val="0"/>
                <w:sz w:val="20"/>
                <w:szCs w:val="20"/>
                <w:highlight w:val="none"/>
                <w:lang w:eastAsia="zh-CN"/>
              </w:rPr>
              <w:t>十</w:t>
            </w:r>
            <w:r>
              <w:rPr>
                <w:rFonts w:hint="eastAsia" w:cs="宋体" w:asciiTheme="minorEastAsia" w:hAnsiTheme="minorEastAsia" w:eastAsiaTheme="minorEastAsia"/>
                <w:b/>
                <w:bCs/>
                <w:spacing w:val="0"/>
                <w:sz w:val="20"/>
                <w:szCs w:val="20"/>
                <w:highlight w:val="none"/>
                <w:lang w:val="en-US" w:eastAsia="zh-CN"/>
              </w:rPr>
              <w:t>一</w:t>
            </w:r>
            <w:r>
              <w:rPr>
                <w:rFonts w:hint="eastAsia" w:cs="宋体" w:asciiTheme="minorEastAsia" w:hAnsiTheme="minorEastAsia" w:eastAsiaTheme="minorEastAsia"/>
                <w:b/>
                <w:bCs/>
                <w:spacing w:val="0"/>
                <w:sz w:val="20"/>
                <w:szCs w:val="20"/>
                <w:highlight w:val="none"/>
                <w:lang w:eastAsia="zh-CN"/>
              </w:rPr>
              <w:t>、所需的维保设备具体清单如下:</w:t>
            </w:r>
            <w:r>
              <w:rPr>
                <w:rFonts w:hint="eastAsia" w:cs="宋体" w:asciiTheme="minorEastAsia" w:hAnsiTheme="minorEastAsia" w:eastAsiaTheme="minorEastAsia"/>
                <w:spacing w:val="0"/>
                <w:sz w:val="20"/>
                <w:szCs w:val="20"/>
                <w:highlight w:val="none"/>
                <w:lang w:eastAsia="zh-CN"/>
              </w:rPr>
              <w:t xml:space="preserve"> </w:t>
            </w:r>
          </w:p>
          <w:tbl>
            <w:tblPr>
              <w:tblStyle w:val="10"/>
              <w:tblW w:w="6361" w:type="dxa"/>
              <w:jc w:val="center"/>
              <w:tblLayout w:type="fixed"/>
              <w:tblCellMar>
                <w:top w:w="0" w:type="dxa"/>
                <w:left w:w="0" w:type="dxa"/>
                <w:bottom w:w="0" w:type="dxa"/>
                <w:right w:w="0" w:type="dxa"/>
              </w:tblCellMar>
            </w:tblPr>
            <w:tblGrid>
              <w:gridCol w:w="1997"/>
              <w:gridCol w:w="1283"/>
              <w:gridCol w:w="2121"/>
              <w:gridCol w:w="960"/>
            </w:tblGrid>
            <w:tr w14:paraId="6B82D557">
              <w:tblPrEx>
                <w:tblCellMar>
                  <w:top w:w="0" w:type="dxa"/>
                  <w:left w:w="0" w:type="dxa"/>
                  <w:bottom w:w="0" w:type="dxa"/>
                  <w:right w:w="0" w:type="dxa"/>
                </w:tblCellMar>
              </w:tblPrEx>
              <w:trPr>
                <w:trHeight w:val="288" w:hRule="atLeast"/>
                <w:jc w:val="center"/>
              </w:trPr>
              <w:tc>
                <w:tcPr>
                  <w:tcW w:w="1997" w:type="dxa"/>
                  <w:tcBorders>
                    <w:top w:val="single" w:color="000000" w:sz="4" w:space="0"/>
                    <w:left w:val="single" w:color="000000" w:sz="4" w:space="0"/>
                    <w:bottom w:val="single" w:color="000000" w:sz="4" w:space="0"/>
                    <w:right w:val="single" w:color="000000" w:sz="4" w:space="0"/>
                  </w:tcBorders>
                </w:tcPr>
                <w:p w14:paraId="60E80002">
                  <w:pPr>
                    <w:keepNext w:val="0"/>
                    <w:keepLines w:val="0"/>
                    <w:pageBreakBefore w:val="0"/>
                    <w:widowControl/>
                    <w:kinsoku/>
                    <w:wordWrap/>
                    <w:overflowPunct/>
                    <w:topLinePunct w:val="0"/>
                    <w:autoSpaceDE/>
                    <w:autoSpaceDN/>
                    <w:bidi w:val="0"/>
                    <w:spacing w:line="360" w:lineRule="auto"/>
                    <w:ind w:right="0"/>
                    <w:jc w:val="center"/>
                    <w:textAlignment w:val="center"/>
                    <w:rPr>
                      <w:rFonts w:cs="宋体" w:asciiTheme="minorEastAsia" w:hAnsiTheme="minorEastAsia" w:eastAsiaTheme="minorEastAsia"/>
                      <w:b/>
                      <w:color w:val="000000"/>
                      <w:spacing w:val="0"/>
                      <w:sz w:val="20"/>
                      <w:szCs w:val="20"/>
                      <w:highlight w:val="none"/>
                    </w:rPr>
                  </w:pPr>
                  <w:r>
                    <w:rPr>
                      <w:rFonts w:hint="eastAsia" w:cs="宋体" w:asciiTheme="minorEastAsia" w:hAnsiTheme="minorEastAsia" w:eastAsiaTheme="minorEastAsia"/>
                      <w:b/>
                      <w:color w:val="000000"/>
                      <w:spacing w:val="0"/>
                      <w:sz w:val="20"/>
                      <w:szCs w:val="20"/>
                      <w:highlight w:val="none"/>
                    </w:rPr>
                    <w:t>名称</w:t>
                  </w:r>
                </w:p>
              </w:tc>
              <w:tc>
                <w:tcPr>
                  <w:tcW w:w="1283"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39E62E50">
                  <w:pPr>
                    <w:keepNext w:val="0"/>
                    <w:keepLines w:val="0"/>
                    <w:pageBreakBefore w:val="0"/>
                    <w:widowControl/>
                    <w:kinsoku/>
                    <w:wordWrap/>
                    <w:overflowPunct/>
                    <w:topLinePunct w:val="0"/>
                    <w:autoSpaceDE/>
                    <w:autoSpaceDN/>
                    <w:bidi w:val="0"/>
                    <w:spacing w:line="360" w:lineRule="auto"/>
                    <w:ind w:right="0"/>
                    <w:jc w:val="center"/>
                    <w:textAlignment w:val="center"/>
                    <w:rPr>
                      <w:rFonts w:cs="宋体" w:asciiTheme="minorEastAsia" w:hAnsiTheme="minorEastAsia" w:eastAsiaTheme="minorEastAsia"/>
                      <w:b/>
                      <w:color w:val="000000"/>
                      <w:spacing w:val="0"/>
                      <w:sz w:val="20"/>
                      <w:szCs w:val="20"/>
                      <w:highlight w:val="none"/>
                    </w:rPr>
                  </w:pPr>
                  <w:r>
                    <w:rPr>
                      <w:rFonts w:hint="eastAsia" w:cs="宋体" w:asciiTheme="minorEastAsia" w:hAnsiTheme="minorEastAsia" w:eastAsiaTheme="minorEastAsia"/>
                      <w:b/>
                      <w:color w:val="000000"/>
                      <w:spacing w:val="0"/>
                      <w:sz w:val="20"/>
                      <w:szCs w:val="20"/>
                      <w:highlight w:val="none"/>
                    </w:rPr>
                    <w:t>品牌</w:t>
                  </w:r>
                </w:p>
              </w:tc>
              <w:tc>
                <w:tcPr>
                  <w:tcW w:w="2121"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3CCC7403">
                  <w:pPr>
                    <w:keepNext w:val="0"/>
                    <w:keepLines w:val="0"/>
                    <w:pageBreakBefore w:val="0"/>
                    <w:widowControl/>
                    <w:kinsoku/>
                    <w:wordWrap/>
                    <w:overflowPunct/>
                    <w:topLinePunct w:val="0"/>
                    <w:autoSpaceDE/>
                    <w:autoSpaceDN/>
                    <w:bidi w:val="0"/>
                    <w:spacing w:line="360" w:lineRule="auto"/>
                    <w:ind w:right="0"/>
                    <w:jc w:val="center"/>
                    <w:textAlignment w:val="center"/>
                    <w:rPr>
                      <w:rFonts w:cs="宋体" w:asciiTheme="minorEastAsia" w:hAnsiTheme="minorEastAsia" w:eastAsiaTheme="minorEastAsia"/>
                      <w:b/>
                      <w:color w:val="000000"/>
                      <w:spacing w:val="0"/>
                      <w:sz w:val="20"/>
                      <w:szCs w:val="20"/>
                      <w:highlight w:val="none"/>
                    </w:rPr>
                  </w:pPr>
                  <w:r>
                    <w:rPr>
                      <w:rFonts w:hint="eastAsia" w:cs="宋体" w:asciiTheme="minorEastAsia" w:hAnsiTheme="minorEastAsia" w:eastAsiaTheme="minorEastAsia"/>
                      <w:b/>
                      <w:color w:val="000000"/>
                      <w:spacing w:val="0"/>
                      <w:sz w:val="20"/>
                      <w:szCs w:val="20"/>
                      <w:highlight w:val="none"/>
                    </w:rPr>
                    <w:t>型号</w:t>
                  </w:r>
                </w:p>
              </w:tc>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24262B25">
                  <w:pPr>
                    <w:keepNext w:val="0"/>
                    <w:keepLines w:val="0"/>
                    <w:pageBreakBefore w:val="0"/>
                    <w:widowControl/>
                    <w:kinsoku/>
                    <w:wordWrap/>
                    <w:overflowPunct/>
                    <w:topLinePunct w:val="0"/>
                    <w:autoSpaceDE/>
                    <w:autoSpaceDN/>
                    <w:bidi w:val="0"/>
                    <w:spacing w:line="360" w:lineRule="auto"/>
                    <w:ind w:right="0"/>
                    <w:jc w:val="center"/>
                    <w:textAlignment w:val="center"/>
                    <w:rPr>
                      <w:rFonts w:cs="宋体" w:asciiTheme="minorEastAsia" w:hAnsiTheme="minorEastAsia" w:eastAsiaTheme="minorEastAsia"/>
                      <w:b/>
                      <w:color w:val="000000"/>
                      <w:spacing w:val="0"/>
                      <w:sz w:val="20"/>
                      <w:szCs w:val="20"/>
                      <w:highlight w:val="none"/>
                    </w:rPr>
                  </w:pPr>
                  <w:r>
                    <w:rPr>
                      <w:rFonts w:hint="eastAsia" w:cs="宋体" w:asciiTheme="minorEastAsia" w:hAnsiTheme="minorEastAsia" w:eastAsiaTheme="minorEastAsia"/>
                      <w:b/>
                      <w:color w:val="000000"/>
                      <w:spacing w:val="0"/>
                      <w:sz w:val="20"/>
                      <w:szCs w:val="20"/>
                      <w:highlight w:val="none"/>
                    </w:rPr>
                    <w:t>数量</w:t>
                  </w:r>
                </w:p>
              </w:tc>
            </w:tr>
            <w:tr w14:paraId="5A3C3F12">
              <w:tblPrEx>
                <w:tblCellMar>
                  <w:top w:w="0" w:type="dxa"/>
                  <w:left w:w="0" w:type="dxa"/>
                  <w:bottom w:w="0" w:type="dxa"/>
                  <w:right w:w="0" w:type="dxa"/>
                </w:tblCellMar>
              </w:tblPrEx>
              <w:trPr>
                <w:trHeight w:val="288" w:hRule="atLeast"/>
                <w:jc w:val="center"/>
              </w:trPr>
              <w:tc>
                <w:tcPr>
                  <w:tcW w:w="1997" w:type="dxa"/>
                  <w:tcBorders>
                    <w:top w:val="single" w:color="000000" w:sz="4" w:space="0"/>
                    <w:left w:val="single" w:color="000000" w:sz="4" w:space="0"/>
                    <w:bottom w:val="single" w:color="000000" w:sz="4" w:space="0"/>
                    <w:right w:val="single" w:color="000000" w:sz="4" w:space="0"/>
                  </w:tcBorders>
                </w:tcPr>
                <w:p w14:paraId="62094E27">
                  <w:pPr>
                    <w:keepNext w:val="0"/>
                    <w:keepLines w:val="0"/>
                    <w:pageBreakBefore w:val="0"/>
                    <w:widowControl/>
                    <w:kinsoku/>
                    <w:wordWrap/>
                    <w:overflowPunct/>
                    <w:topLinePunct w:val="0"/>
                    <w:autoSpaceDE/>
                    <w:autoSpaceDN/>
                    <w:bidi w:val="0"/>
                    <w:spacing w:line="360" w:lineRule="auto"/>
                    <w:ind w:right="0"/>
                    <w:jc w:val="center"/>
                    <w:textAlignment w:val="center"/>
                    <w:rPr>
                      <w:rFonts w:cs="宋体" w:asciiTheme="minorEastAsia" w:hAnsiTheme="minorEastAsia" w:eastAsiaTheme="minorEastAsia"/>
                      <w:color w:val="FF0000"/>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手术动力系统</w:t>
                  </w:r>
                </w:p>
              </w:tc>
              <w:tc>
                <w:tcPr>
                  <w:tcW w:w="1283"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1926A7D1">
                  <w:pPr>
                    <w:keepNext w:val="0"/>
                    <w:keepLines w:val="0"/>
                    <w:pageBreakBefore w:val="0"/>
                    <w:widowControl/>
                    <w:kinsoku/>
                    <w:wordWrap/>
                    <w:overflowPunct/>
                    <w:topLinePunct w:val="0"/>
                    <w:autoSpaceDE/>
                    <w:autoSpaceDN/>
                    <w:bidi w:val="0"/>
                    <w:spacing w:line="360" w:lineRule="auto"/>
                    <w:ind w:right="0"/>
                    <w:jc w:val="center"/>
                    <w:textAlignment w:val="center"/>
                    <w:rPr>
                      <w:rFonts w:cs="宋体" w:asciiTheme="minorEastAsia" w:hAnsiTheme="minorEastAsia" w:eastAsiaTheme="minorEastAsia"/>
                      <w:color w:val="FF0000"/>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宾格</w:t>
                  </w:r>
                </w:p>
              </w:tc>
              <w:tc>
                <w:tcPr>
                  <w:tcW w:w="2121"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4E26B3A0">
                  <w:pPr>
                    <w:keepNext w:val="0"/>
                    <w:keepLines w:val="0"/>
                    <w:pageBreakBefore w:val="0"/>
                    <w:widowControl/>
                    <w:kinsoku/>
                    <w:wordWrap/>
                    <w:overflowPunct/>
                    <w:topLinePunct w:val="0"/>
                    <w:autoSpaceDE/>
                    <w:autoSpaceDN/>
                    <w:bidi w:val="0"/>
                    <w:spacing w:line="360" w:lineRule="auto"/>
                    <w:ind w:right="0"/>
                    <w:jc w:val="center"/>
                    <w:textAlignment w:val="center"/>
                    <w:rPr>
                      <w:rFonts w:cs="宋体" w:asciiTheme="minorEastAsia" w:hAnsiTheme="minorEastAsia" w:eastAsiaTheme="minorEastAsia"/>
                      <w:color w:val="FF0000"/>
                      <w:spacing w:val="0"/>
                      <w:sz w:val="20"/>
                      <w:szCs w:val="20"/>
                      <w:highlight w:val="none"/>
                      <w:lang w:eastAsia="zh-CN"/>
                    </w:rPr>
                  </w:pPr>
                  <w:r>
                    <w:rPr>
                      <w:rFonts w:hint="eastAsia" w:cs="宋体" w:asciiTheme="minorEastAsia" w:hAnsiTheme="minorEastAsia" w:eastAsiaTheme="minorEastAsia"/>
                      <w:spacing w:val="0"/>
                      <w:sz w:val="20"/>
                      <w:szCs w:val="20"/>
                      <w:highlight w:val="none"/>
                      <w:lang w:eastAsia="zh-CN"/>
                    </w:rPr>
                    <w:t>78SS80-SET-EN</w:t>
                  </w:r>
                </w:p>
              </w:tc>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5BA73A76">
                  <w:pPr>
                    <w:keepNext w:val="0"/>
                    <w:keepLines w:val="0"/>
                    <w:pageBreakBefore w:val="0"/>
                    <w:widowControl/>
                    <w:kinsoku/>
                    <w:wordWrap/>
                    <w:overflowPunct/>
                    <w:topLinePunct w:val="0"/>
                    <w:autoSpaceDE/>
                    <w:autoSpaceDN/>
                    <w:bidi w:val="0"/>
                    <w:spacing w:line="360" w:lineRule="auto"/>
                    <w:ind w:right="0"/>
                    <w:jc w:val="center"/>
                    <w:textAlignment w:val="center"/>
                    <w:rPr>
                      <w:rFonts w:cs="宋体" w:asciiTheme="minorEastAsia" w:hAnsiTheme="minorEastAsia" w:eastAsiaTheme="minorEastAsia"/>
                      <w:color w:val="FF0000"/>
                      <w:spacing w:val="0"/>
                      <w:sz w:val="20"/>
                      <w:szCs w:val="20"/>
                      <w:highlight w:val="none"/>
                    </w:rPr>
                  </w:pPr>
                  <w:r>
                    <w:rPr>
                      <w:rFonts w:hint="eastAsia" w:cs="宋体" w:asciiTheme="minorEastAsia" w:hAnsiTheme="minorEastAsia" w:eastAsiaTheme="minorEastAsia"/>
                      <w:color w:val="FF0000"/>
                      <w:spacing w:val="0"/>
                      <w:sz w:val="20"/>
                      <w:szCs w:val="20"/>
                      <w:highlight w:val="none"/>
                      <w:lang w:val="en-US" w:eastAsia="zh-CN"/>
                    </w:rPr>
                    <w:t>2</w:t>
                  </w:r>
                  <w:r>
                    <w:rPr>
                      <w:rFonts w:hint="eastAsia" w:cs="宋体" w:asciiTheme="minorEastAsia" w:hAnsiTheme="minorEastAsia" w:eastAsiaTheme="minorEastAsia"/>
                      <w:color w:val="FF0000"/>
                      <w:spacing w:val="0"/>
                      <w:sz w:val="20"/>
                      <w:szCs w:val="20"/>
                      <w:highlight w:val="none"/>
                    </w:rPr>
                    <w:t>台</w:t>
                  </w:r>
                </w:p>
              </w:tc>
            </w:tr>
          </w:tbl>
          <w:p w14:paraId="3CE4E125">
            <w:pPr>
              <w:keepNext w:val="0"/>
              <w:keepLines w:val="0"/>
              <w:pageBreakBefore w:val="0"/>
              <w:tabs>
                <w:tab w:val="left" w:pos="360"/>
              </w:tabs>
              <w:kinsoku/>
              <w:wordWrap/>
              <w:overflowPunct/>
              <w:topLinePunct w:val="0"/>
              <w:autoSpaceDE/>
              <w:autoSpaceDN/>
              <w:bidi w:val="0"/>
              <w:spacing w:line="360" w:lineRule="auto"/>
              <w:ind w:right="0" w:firstLine="400" w:firstLineChars="200"/>
              <w:rPr>
                <w:rFonts w:cs="宋体" w:asciiTheme="minorEastAsia" w:hAnsiTheme="minorEastAsia" w:eastAsiaTheme="minorEastAsia"/>
                <w:spacing w:val="0"/>
                <w:sz w:val="20"/>
                <w:szCs w:val="20"/>
                <w:highlight w:val="none"/>
                <w:lang w:eastAsia="zh-CN"/>
              </w:rPr>
            </w:pPr>
          </w:p>
        </w:tc>
      </w:tr>
    </w:tbl>
    <w:p w14:paraId="7C90A6AE">
      <w:pPr>
        <w:pStyle w:val="2"/>
        <w:rPr>
          <w:sz w:val="20"/>
          <w:szCs w:val="2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5F"/>
    <w:rsid w:val="0007277E"/>
    <w:rsid w:val="00087DBC"/>
    <w:rsid w:val="000C7652"/>
    <w:rsid w:val="001159FF"/>
    <w:rsid w:val="0014406A"/>
    <w:rsid w:val="001971EA"/>
    <w:rsid w:val="002152AF"/>
    <w:rsid w:val="002E4F3A"/>
    <w:rsid w:val="002F1941"/>
    <w:rsid w:val="00346352"/>
    <w:rsid w:val="0035537B"/>
    <w:rsid w:val="004D623F"/>
    <w:rsid w:val="00526627"/>
    <w:rsid w:val="0059384D"/>
    <w:rsid w:val="00630BE8"/>
    <w:rsid w:val="006C13E7"/>
    <w:rsid w:val="00791654"/>
    <w:rsid w:val="007A5101"/>
    <w:rsid w:val="00811D35"/>
    <w:rsid w:val="00821F5F"/>
    <w:rsid w:val="009D2D83"/>
    <w:rsid w:val="00A06588"/>
    <w:rsid w:val="00A35D88"/>
    <w:rsid w:val="00A918F6"/>
    <w:rsid w:val="00AB3165"/>
    <w:rsid w:val="00AD3CC0"/>
    <w:rsid w:val="00B16A83"/>
    <w:rsid w:val="00C24F09"/>
    <w:rsid w:val="00D413A3"/>
    <w:rsid w:val="00D5640A"/>
    <w:rsid w:val="00E16309"/>
    <w:rsid w:val="00E2596B"/>
    <w:rsid w:val="00E27950"/>
    <w:rsid w:val="00E4212C"/>
    <w:rsid w:val="00E7469D"/>
    <w:rsid w:val="00F52DEB"/>
    <w:rsid w:val="00F53FC1"/>
    <w:rsid w:val="0D083575"/>
    <w:rsid w:val="2B7B3D52"/>
    <w:rsid w:val="2D8D0BB7"/>
    <w:rsid w:val="35AC154D"/>
    <w:rsid w:val="36FC5244"/>
    <w:rsid w:val="40022F93"/>
    <w:rsid w:val="5E460D9F"/>
    <w:rsid w:val="61B1109B"/>
    <w:rsid w:val="655304F4"/>
    <w:rsid w:val="69D84E75"/>
    <w:rsid w:val="702C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unhideWhenUsed/>
    <w:qFormat/>
    <w:uiPriority w:val="1"/>
    <w:pPr>
      <w:spacing w:after="120"/>
    </w:pPr>
  </w:style>
  <w:style w:type="paragraph" w:styleId="3">
    <w:name w:val="annotation text"/>
    <w:basedOn w:val="1"/>
    <w:link w:val="16"/>
    <w:semiHidden/>
    <w:unhideWhenUsed/>
    <w:qFormat/>
    <w:uiPriority w:val="0"/>
  </w:style>
  <w:style w:type="paragraph" w:styleId="4">
    <w:name w:val="Body Text Indent"/>
    <w:basedOn w:val="1"/>
    <w:qFormat/>
    <w:uiPriority w:val="0"/>
    <w:pPr>
      <w:spacing w:after="120"/>
      <w:ind w:left="420" w:leftChars="200"/>
    </w:p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8">
    <w:name w:val="Body Text Indent 3"/>
    <w:basedOn w:val="1"/>
    <w:link w:val="17"/>
    <w:semiHidden/>
    <w:unhideWhenUsed/>
    <w:qFormat/>
    <w:uiPriority w:val="99"/>
    <w:pPr>
      <w:spacing w:after="120"/>
      <w:ind w:left="420" w:leftChars="200"/>
    </w:pPr>
    <w:rPr>
      <w:sz w:val="16"/>
      <w:szCs w:val="16"/>
    </w:rPr>
  </w:style>
  <w:style w:type="paragraph" w:styleId="9">
    <w:name w:val="Body Text First Indent 2"/>
    <w:basedOn w:val="4"/>
    <w:qFormat/>
    <w:uiPriority w:val="0"/>
    <w:pPr>
      <w:ind w:firstLine="420" w:firstLineChars="200"/>
    </w:pPr>
  </w:style>
  <w:style w:type="character" w:styleId="12">
    <w:name w:val="annotation reference"/>
    <w:basedOn w:val="11"/>
    <w:semiHidden/>
    <w:unhideWhenUsed/>
    <w:qFormat/>
    <w:uiPriority w:val="0"/>
    <w:rPr>
      <w:sz w:val="21"/>
      <w:szCs w:val="21"/>
    </w:rPr>
  </w:style>
  <w:style w:type="character" w:customStyle="1" w:styleId="13">
    <w:name w:val="Header Char"/>
    <w:basedOn w:val="11"/>
    <w:link w:val="7"/>
    <w:qFormat/>
    <w:uiPriority w:val="99"/>
    <w:rPr>
      <w:sz w:val="18"/>
      <w:szCs w:val="18"/>
    </w:rPr>
  </w:style>
  <w:style w:type="character" w:customStyle="1" w:styleId="14">
    <w:name w:val="Footer Char"/>
    <w:basedOn w:val="11"/>
    <w:link w:val="6"/>
    <w:qFormat/>
    <w:uiPriority w:val="99"/>
    <w:rPr>
      <w:sz w:val="18"/>
      <w:szCs w:val="18"/>
    </w:rPr>
  </w:style>
  <w:style w:type="character" w:customStyle="1" w:styleId="15">
    <w:name w:val="Body Text Char"/>
    <w:basedOn w:val="11"/>
    <w:link w:val="2"/>
    <w:qFormat/>
    <w:uiPriority w:val="1"/>
    <w:rPr>
      <w:rFonts w:ascii="Times New Roman" w:hAnsi="Times New Roman" w:eastAsia="Calibri" w:cs="Times New Roman"/>
      <w:kern w:val="0"/>
      <w:sz w:val="22"/>
      <w:lang w:eastAsia="en-US"/>
    </w:rPr>
  </w:style>
  <w:style w:type="character" w:customStyle="1" w:styleId="16">
    <w:name w:val="Comment Text Char"/>
    <w:basedOn w:val="11"/>
    <w:link w:val="3"/>
    <w:semiHidden/>
    <w:qFormat/>
    <w:uiPriority w:val="0"/>
    <w:rPr>
      <w:rFonts w:ascii="Times New Roman" w:hAnsi="Times New Roman" w:eastAsia="Calibri" w:cs="Times New Roman"/>
      <w:kern w:val="0"/>
      <w:sz w:val="22"/>
      <w:lang w:eastAsia="en-US"/>
    </w:rPr>
  </w:style>
  <w:style w:type="character" w:customStyle="1" w:styleId="17">
    <w:name w:val="Body Text Indent 3 Char"/>
    <w:basedOn w:val="11"/>
    <w:link w:val="8"/>
    <w:semiHidden/>
    <w:qFormat/>
    <w:uiPriority w:val="99"/>
    <w:rPr>
      <w:rFonts w:ascii="Times New Roman" w:hAnsi="Times New Roman" w:eastAsia="Calibri" w:cs="Times New Roman"/>
      <w:kern w:val="0"/>
      <w:sz w:val="16"/>
      <w:szCs w:val="16"/>
      <w:lang w:eastAsia="en-US"/>
    </w:rPr>
  </w:style>
  <w:style w:type="character" w:customStyle="1" w:styleId="18">
    <w:name w:val="Balloon Text Char"/>
    <w:basedOn w:val="11"/>
    <w:link w:val="5"/>
    <w:semiHidden/>
    <w:qFormat/>
    <w:uiPriority w:val="99"/>
    <w:rPr>
      <w:rFonts w:ascii="Times New Roman" w:hAnsi="Times New Roman" w:eastAsia="Calibri" w:cs="Times New Roman"/>
      <w:kern w:val="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2507</Words>
  <Characters>2605</Characters>
  <Lines>10</Lines>
  <Paragraphs>3</Paragraphs>
  <TotalTime>5</TotalTime>
  <ScaleCrop>false</ScaleCrop>
  <LinksUpToDate>false</LinksUpToDate>
  <CharactersWithSpaces>2610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2025-08-11T05:48:00Z</dcterms:created>
  <dc:creator>微软用户</dc:creator>
  <cp:lastModifiedBy>胡伟坡</cp:lastModifiedBy>
  <dcterms:modified xsi:type="dcterms:W3CDTF">2025-10-13T03:03:12Z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eyJoZGlkIjoiMWNhNjEwNjEzM2FmNmM1OTc0NWQxMGUxNzdiMWY2NDQiLCJ1c2VySWQiOiIxNjU3MTU3OTk5In0=</vt:lpwstr>
  </property>
  <property fmtid="{D5CDD505-2E9C-101B-9397-08002B2CF9AE}" pid="3" name="KSOProductBuildVer">
    <vt:lpwstr>2052-12.1.0.19770</vt:lpwstr>
  </property>
  <property fmtid="{D5CDD505-2E9C-101B-9397-08002B2CF9AE}" pid="4" name="ICV">
    <vt:lpwstr>14D4A8872C6F43B8909B6100E0564AE0_13</vt:lpwstr>
  </property>
</Properties>
</file>