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FB68C">
      <w:pPr>
        <w:pStyle w:val="8"/>
        <w:spacing w:before="312" w:beforeLines="100" w:line="360" w:lineRule="auto"/>
        <w:ind w:left="0" w:leftChars="0" w:firstLine="0" w:firstLineChars="0"/>
        <w:jc w:val="center"/>
        <w:rPr>
          <w:rFonts w:hint="default" w:cs="宋体" w:asciiTheme="minorEastAsia" w:hAnsiTheme="minorEastAsia" w:eastAsiaTheme="minorEastAsia"/>
          <w:b/>
          <w:bCs/>
          <w:sz w:val="28"/>
          <w:szCs w:val="28"/>
          <w:highlight w:val="none"/>
          <w:lang w:val="en-US" w:eastAsia="zh-CN"/>
        </w:rPr>
      </w:pPr>
      <w:r>
        <w:rPr>
          <w:rFonts w:hint="eastAsia" w:cs="宋体" w:asciiTheme="minorEastAsia" w:hAnsiTheme="minorEastAsia" w:eastAsiaTheme="minorEastAsia"/>
          <w:b/>
          <w:bCs/>
          <w:sz w:val="28"/>
          <w:szCs w:val="28"/>
          <w:highlight w:val="none"/>
          <w:lang w:eastAsia="zh-CN"/>
        </w:rPr>
        <w:t>脉动真空灭菌器维保服务1年</w:t>
      </w:r>
      <w:r>
        <w:rPr>
          <w:rFonts w:hint="eastAsia" w:cs="宋体" w:asciiTheme="minorEastAsia" w:hAnsiTheme="minorEastAsia" w:eastAsiaTheme="minorEastAsia"/>
          <w:b/>
          <w:bCs/>
          <w:sz w:val="28"/>
          <w:szCs w:val="28"/>
          <w:highlight w:val="none"/>
          <w:lang w:val="en-US" w:eastAsia="zh-CN"/>
        </w:rPr>
        <w:t xml:space="preserve"> 采购需求</w:t>
      </w:r>
    </w:p>
    <w:tbl>
      <w:tblPr>
        <w:tblStyle w:val="10"/>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5"/>
      </w:tblGrid>
      <w:tr w14:paraId="4E31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A6AC5E8">
            <w:pPr>
              <w:pStyle w:val="8"/>
              <w:keepNext w:val="0"/>
              <w:keepLines w:val="0"/>
              <w:pageBreakBefore w:val="0"/>
              <w:kinsoku/>
              <w:wordWrap/>
              <w:overflowPunct/>
              <w:topLinePunct w:val="0"/>
              <w:autoSpaceDE/>
              <w:autoSpaceDN/>
              <w:bidi w:val="0"/>
              <w:spacing w:after="0" w:line="360" w:lineRule="auto"/>
              <w:ind w:left="0" w:leftChars="0" w:right="0" w:firstLine="0" w:firstLineChars="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一、总体概述及要求</w:t>
            </w:r>
          </w:p>
          <w:p w14:paraId="589AAF64">
            <w:pPr>
              <w:keepNext w:val="0"/>
              <w:keepLines w:val="0"/>
              <w:pageBreakBefore w:val="0"/>
              <w:kinsoku/>
              <w:wordWrap/>
              <w:overflowPunct/>
              <w:topLinePunct w:val="0"/>
              <w:autoSpaceDE/>
              <w:autoSpaceDN/>
              <w:bidi w:val="0"/>
              <w:spacing w:line="360" w:lineRule="auto"/>
              <w:ind w:right="0" w:firstLine="400" w:firstLineChars="200"/>
              <w:jc w:val="both"/>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1、本服务项目：是指采购人在用的新华品牌的脉动真空灭菌器（型号：</w:t>
            </w:r>
            <w:r>
              <w:rPr>
                <w:rFonts w:hint="eastAsia" w:ascii="宋体" w:hAnsi="宋体" w:eastAsia="宋体" w:cs="宋体"/>
                <w:i w:val="0"/>
                <w:iCs w:val="0"/>
                <w:caps w:val="0"/>
                <w:color w:val="000000"/>
                <w:spacing w:val="0"/>
                <w:sz w:val="21"/>
                <w:szCs w:val="21"/>
                <w:shd w:val="clear" w:fill="FFFFFF"/>
              </w:rPr>
              <w:t>BIST-A-D910-D-B</w:t>
            </w:r>
            <w:r>
              <w:rPr>
                <w:rFonts w:hint="eastAsia" w:cs="宋体" w:asciiTheme="minorEastAsia" w:hAnsiTheme="minorEastAsia" w:eastAsiaTheme="minorEastAsia"/>
                <w:spacing w:val="0"/>
                <w:sz w:val="20"/>
                <w:szCs w:val="20"/>
                <w:highlight w:val="none"/>
                <w:lang w:eastAsia="zh-CN"/>
              </w:rPr>
              <w:t>）</w:t>
            </w:r>
            <w:r>
              <w:rPr>
                <w:rFonts w:hint="eastAsia" w:cs="宋体" w:asciiTheme="minorEastAsia" w:hAnsiTheme="minorEastAsia" w:eastAsiaTheme="minorEastAsia"/>
                <w:spacing w:val="0"/>
                <w:sz w:val="20"/>
                <w:szCs w:val="20"/>
                <w:highlight w:val="none"/>
                <w:lang w:val="en-US" w:eastAsia="zh-CN"/>
              </w:rPr>
              <w:t>1台1</w:t>
            </w:r>
            <w:r>
              <w:rPr>
                <w:rFonts w:hint="eastAsia" w:cs="宋体" w:asciiTheme="minorEastAsia" w:hAnsiTheme="minorEastAsia" w:eastAsiaTheme="minorEastAsia"/>
                <w:spacing w:val="0"/>
                <w:sz w:val="20"/>
                <w:szCs w:val="20"/>
                <w:highlight w:val="none"/>
                <w:lang w:eastAsia="zh-CN"/>
              </w:rPr>
              <w:t>年维修保养服务，维保的项目为全保服务。服务期以合同约定为准。</w:t>
            </w:r>
          </w:p>
        </w:tc>
      </w:tr>
      <w:tr w14:paraId="15B0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86218ED">
            <w:pPr>
              <w:keepNext w:val="0"/>
              <w:keepLines w:val="0"/>
              <w:pageBreakBefore w:val="0"/>
              <w:kinsoku/>
              <w:wordWrap/>
              <w:overflowPunct/>
              <w:topLinePunct w:val="0"/>
              <w:autoSpaceDE/>
              <w:autoSpaceDN/>
              <w:bidi w:val="0"/>
              <w:spacing w:line="360" w:lineRule="auto"/>
              <w:ind w:right="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二、维护服务对象基本情况</w:t>
            </w:r>
          </w:p>
          <w:p w14:paraId="3D862D24">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1、服务项目设备：</w:t>
            </w:r>
            <w:r>
              <w:rPr>
                <w:rFonts w:hint="eastAsia" w:cs="宋体" w:asciiTheme="minorEastAsia" w:hAnsiTheme="minorEastAsia" w:eastAsiaTheme="minorEastAsia"/>
                <w:spacing w:val="0"/>
                <w:sz w:val="20"/>
                <w:szCs w:val="20"/>
                <w:highlight w:val="none"/>
                <w:lang w:val="en-US" w:eastAsia="zh-CN"/>
              </w:rPr>
              <w:t>1台</w:t>
            </w:r>
            <w:r>
              <w:rPr>
                <w:rFonts w:hint="eastAsia" w:cs="宋体" w:asciiTheme="minorEastAsia" w:hAnsiTheme="minorEastAsia" w:eastAsiaTheme="minorEastAsia"/>
                <w:spacing w:val="0"/>
                <w:sz w:val="20"/>
                <w:szCs w:val="20"/>
                <w:highlight w:val="none"/>
                <w:lang w:eastAsia="zh-CN"/>
              </w:rPr>
              <w:t>新华品牌的脉动真空灭菌器（型号：</w:t>
            </w:r>
            <w:r>
              <w:rPr>
                <w:rFonts w:hint="eastAsia" w:ascii="宋体" w:hAnsi="宋体" w:eastAsia="宋体" w:cs="宋体"/>
                <w:i w:val="0"/>
                <w:iCs w:val="0"/>
                <w:caps w:val="0"/>
                <w:color w:val="000000"/>
                <w:spacing w:val="0"/>
                <w:sz w:val="21"/>
                <w:szCs w:val="21"/>
                <w:shd w:val="clear" w:fill="FFFFFF"/>
              </w:rPr>
              <w:t>BIST-A-D910-D-B</w:t>
            </w:r>
            <w:r>
              <w:rPr>
                <w:rFonts w:hint="eastAsia" w:cs="宋体" w:asciiTheme="minorEastAsia" w:hAnsiTheme="minorEastAsia" w:eastAsiaTheme="minorEastAsia"/>
                <w:spacing w:val="0"/>
                <w:sz w:val="20"/>
                <w:szCs w:val="20"/>
                <w:highlight w:val="none"/>
                <w:lang w:eastAsia="zh-CN"/>
              </w:rPr>
              <w:t>）。</w:t>
            </w:r>
          </w:p>
          <w:p w14:paraId="38E888D0">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2、设备使用情况：正常使用。</w:t>
            </w:r>
          </w:p>
          <w:p w14:paraId="6695AD27">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3、服务意义：为应对该设备的损坏风险，及时修复故障，提高使用率，购买</w:t>
            </w:r>
            <w:r>
              <w:rPr>
                <w:rFonts w:hint="eastAsia" w:cs="宋体" w:asciiTheme="minorEastAsia" w:hAnsiTheme="minorEastAsia" w:eastAsiaTheme="minorEastAsia"/>
                <w:spacing w:val="0"/>
                <w:sz w:val="20"/>
                <w:szCs w:val="20"/>
                <w:highlight w:val="none"/>
                <w:lang w:val="en-US" w:eastAsia="zh-CN"/>
              </w:rPr>
              <w:t>1</w:t>
            </w:r>
            <w:r>
              <w:rPr>
                <w:rFonts w:hint="eastAsia" w:cs="宋体" w:asciiTheme="minorEastAsia" w:hAnsiTheme="minorEastAsia" w:eastAsiaTheme="minorEastAsia"/>
                <w:spacing w:val="0"/>
                <w:sz w:val="20"/>
                <w:szCs w:val="20"/>
                <w:highlight w:val="none"/>
                <w:lang w:eastAsia="zh-CN"/>
              </w:rPr>
              <w:t>年保修服务。</w:t>
            </w:r>
          </w:p>
        </w:tc>
      </w:tr>
      <w:tr w14:paraId="31A3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60927C3B">
            <w:pPr>
              <w:keepNext w:val="0"/>
              <w:keepLines w:val="0"/>
              <w:pageBreakBefore w:val="0"/>
              <w:kinsoku/>
              <w:wordWrap/>
              <w:overflowPunct/>
              <w:topLinePunct w:val="0"/>
              <w:autoSpaceDE/>
              <w:autoSpaceDN/>
              <w:bidi w:val="0"/>
              <w:spacing w:line="360" w:lineRule="auto"/>
              <w:ind w:right="0"/>
              <w:jc w:val="both"/>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三、服务人员与服务时间</w:t>
            </w:r>
          </w:p>
          <w:p w14:paraId="60556D6A">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1、投标人应设有固定人员提供服务 (提供服务人员清单或承诺函并标注在投标文件中)。</w:t>
            </w:r>
          </w:p>
          <w:p w14:paraId="494754CE">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▲2、要求投标人至少指定1名全职的工程师负责本项目，并持有厂家或相关能力培训合格的服务证明。（投标文件中提供工程师名单、联系方式及培训合格的证明文件并标注在投标文件中）。</w:t>
            </w:r>
          </w:p>
          <w:p w14:paraId="39A9A423">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3、电话响应：7*24小时电话支持服务；按照日历日，每日08:00-17:30现场服务。遇服务时间外的紧急现场加班服务，产生的加班费用由中标人承担。</w:t>
            </w:r>
          </w:p>
          <w:p w14:paraId="0DD8EA93">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4、如遇服务时间外的紧急加班服务，人员的紧急加班服务费用包含在本次报价中。</w:t>
            </w:r>
          </w:p>
        </w:tc>
      </w:tr>
      <w:tr w14:paraId="5A93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5C431C2E">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cs="宋体" w:asciiTheme="minorEastAsia" w:hAnsiTheme="minorEastAsia" w:eastAsiaTheme="minorEastAsia"/>
                <w:spacing w:val="0"/>
                <w:sz w:val="20"/>
                <w:szCs w:val="20"/>
                <w:highlight w:val="none"/>
                <w:lang w:eastAsia="zh-CN"/>
              </w:rPr>
              <w:t>四、</w:t>
            </w:r>
            <w:r>
              <w:rPr>
                <w:rFonts w:hint="eastAsia" w:cs="宋体" w:asciiTheme="minorEastAsia" w:hAnsiTheme="minorEastAsia" w:eastAsiaTheme="minorEastAsia"/>
                <w:b/>
                <w:bCs/>
                <w:spacing w:val="0"/>
                <w:sz w:val="20"/>
                <w:szCs w:val="20"/>
                <w:highlight w:val="none"/>
                <w:lang w:eastAsia="zh-CN"/>
              </w:rPr>
              <w:t>维修保养服务内容</w:t>
            </w:r>
            <w:r>
              <w:rPr>
                <w:rFonts w:cs="宋体" w:asciiTheme="minorEastAsia" w:hAnsiTheme="minorEastAsia" w:eastAsiaTheme="minorEastAsia"/>
                <w:spacing w:val="0"/>
                <w:sz w:val="20"/>
                <w:szCs w:val="20"/>
                <w:highlight w:val="none"/>
                <w:lang w:eastAsia="zh-CN"/>
              </w:rPr>
              <w:t>：</w:t>
            </w:r>
          </w:p>
          <w:p w14:paraId="4D156278">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cs="宋体" w:asciiTheme="minorEastAsia" w:hAnsiTheme="minorEastAsia" w:eastAsiaTheme="minorEastAsia"/>
                <w:spacing w:val="0"/>
                <w:sz w:val="20"/>
                <w:szCs w:val="20"/>
                <w:highlight w:val="none"/>
                <w:lang w:eastAsia="zh-CN"/>
              </w:rPr>
              <w:t>本服务项目投标人应提供包括但不限于以下服务：</w:t>
            </w:r>
          </w:p>
          <w:p w14:paraId="3833E216">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▲1、维保服务期内，服务内容包含对设备进行维修，保养和更换配件，投标人承担配件、劳务和差旅等费用，不再收取除合同款外的其他费用。</w:t>
            </w:r>
          </w:p>
          <w:p w14:paraId="37C2ACEB">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2、服务设备常规一年</w:t>
            </w:r>
            <w:r>
              <w:rPr>
                <w:rFonts w:hint="eastAsia" w:cs="宋体" w:asciiTheme="minorEastAsia" w:hAnsiTheme="minorEastAsia" w:eastAsiaTheme="minorEastAsia"/>
                <w:spacing w:val="0"/>
                <w:sz w:val="20"/>
                <w:szCs w:val="20"/>
                <w:highlight w:val="none"/>
                <w:lang w:val="en-US" w:eastAsia="zh-CN"/>
              </w:rPr>
              <w:t>4</w:t>
            </w:r>
            <w:r>
              <w:rPr>
                <w:rFonts w:hint="default" w:cs="宋体" w:asciiTheme="minorEastAsia" w:hAnsiTheme="minorEastAsia" w:eastAsiaTheme="minorEastAsia"/>
                <w:spacing w:val="0"/>
                <w:sz w:val="20"/>
                <w:szCs w:val="20"/>
                <w:highlight w:val="none"/>
                <w:lang w:val="en-US" w:eastAsia="zh-CN"/>
              </w:rPr>
              <w:t>次保养及预防性维护，包括设备的安全检查、除尘保养及运行状态检查、定期更换设备易损部件等；以上服务中标人应按采购人要求提交保养报告。如采购人有需要，中标人可提供培训服务，且培训服务费已包含在合同总价中，不另外收取。</w:t>
            </w:r>
          </w:p>
          <w:p w14:paraId="71F1FC18">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▲3、中标人应在项目所在地设有维修联络处，在项目所在地具有常用备件库，为所保设备保证备件的存储并优先提供备件的发货及维修更换。（投标文件需提供相关证明材料或承诺函并标注在投标文件中  页）</w:t>
            </w:r>
          </w:p>
          <w:p w14:paraId="2AD5D6E8">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4、当所保设备出现故障时，中标人收到采购人的报修通知后应及时派工程师进行指导或赴现场维修，如无法及时维修，中标人应及时通知采购人，并可提供备用机给采购人临时使用以保证业务正常开展。</w:t>
            </w:r>
          </w:p>
          <w:p w14:paraId="5801F980">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5、每年度服务结束后中标人应提交年度服务报告，至少包括维修情况、服务总结、设备运行情况分析、设备存在问题、建议及后续整改措施等。</w:t>
            </w:r>
          </w:p>
          <w:p w14:paraId="55CB7693">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6、维保信息记录完整，要求每次维保服务有工单，每台设备有状态标识及现场维保记录，每次服务可溯源。（投标文件提供投标人自有设计的服务工单、状态标识相关模板并标注在投标文件中）</w:t>
            </w:r>
          </w:p>
        </w:tc>
      </w:tr>
      <w:tr w14:paraId="0316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807D784">
            <w:pPr>
              <w:keepNext w:val="0"/>
              <w:keepLines w:val="0"/>
              <w:pageBreakBefore w:val="0"/>
              <w:tabs>
                <w:tab w:val="left" w:pos="360"/>
              </w:tabs>
              <w:kinsoku/>
              <w:wordWrap/>
              <w:overflowPunct/>
              <w:topLinePunct w:val="0"/>
              <w:autoSpaceDE/>
              <w:autoSpaceDN/>
              <w:bidi w:val="0"/>
              <w:spacing w:line="360" w:lineRule="auto"/>
              <w:ind w:right="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五、标准响应时间</w:t>
            </w:r>
          </w:p>
          <w:p w14:paraId="2604F77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1、响应时间为30分钟内电话处理。</w:t>
            </w:r>
          </w:p>
          <w:p w14:paraId="7CB77F93">
            <w:pPr>
              <w:keepNext w:val="0"/>
              <w:keepLines w:val="0"/>
              <w:pageBreakBefore w:val="0"/>
              <w:kinsoku/>
              <w:wordWrap/>
              <w:overflowPunct/>
              <w:topLinePunct w:val="0"/>
              <w:autoSpaceDE/>
              <w:autoSpaceDN/>
              <w:bidi w:val="0"/>
              <w:adjustRightInd w:val="0"/>
              <w:snapToGrid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现场响应时间：8个小时内。如设备故障严重，无法在24小时内修复，中标人有义务提供解决方案，并保证在3个日历日内使设备恢复正常运行；如在3个日历日内无法使设备恢复正常运行，中标人有义务优先提供备机（备机要求能实现原机的基本功能，品牌型号不限），并保证尽快修复，同时采购人有权另行聘请第三方予以解决，以上所发生的费用由中标人承担。若中标人在采购人报修后1日不能提供有效服务的，则每延迟1日，本项目维保服务期限自动延长3个日历日，造成采购人损失的，中标人应承担全部赔偿责任。</w:t>
            </w:r>
          </w:p>
        </w:tc>
      </w:tr>
      <w:tr w14:paraId="3467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00D6BCF8">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六、考核制度</w:t>
            </w:r>
          </w:p>
          <w:p w14:paraId="3BDC907A">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1、属于“服务内容”范围内的工作，维修服务单均要使用科室人员签名确认。</w:t>
            </w:r>
          </w:p>
          <w:p w14:paraId="1DCCA1C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保证开机率：在服务时间内（每天24小时，全年365个日历日），对所保设备开机率承诺保证达到95%，即正常开机达到346.75个日历日，停机不超过18.25个日历日。当开机率低于95%，每降低1%，维保期顺延30个日历日。当开机率低于90%，将被视为严重违约，采购人有权单方解除合同，中标人须向采购人退还该开机率未达标对应服务时间的全部维修保养等费用以及中标人未提供或未按约提供维修保养服务时间部分的合同款项；如采购人同意不解除合同，中标人应根据每降低【1】%，维保期顺延【30】个日历日的比例折算为设备延保的时间，同时，中标人应按合同总金额的10%向采购人支付违约金，违约金不足以弥补采购人损失的，中标人应另行赔偿。</w:t>
            </w:r>
          </w:p>
        </w:tc>
      </w:tr>
      <w:tr w14:paraId="2BC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3146274">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七、技术咨询及培训服务</w:t>
            </w:r>
            <w:r>
              <w:rPr>
                <w:rFonts w:hint="eastAsia" w:cs="宋体" w:asciiTheme="minorEastAsia" w:hAnsiTheme="minorEastAsia" w:eastAsiaTheme="minorEastAsia"/>
                <w:spacing w:val="0"/>
                <w:sz w:val="20"/>
                <w:szCs w:val="20"/>
                <w:highlight w:val="none"/>
                <w:lang w:eastAsia="zh-CN"/>
              </w:rPr>
              <w:t>：服务期内，中标人应提供设备使用咨询及必要的现场培训服务，相关费用包含在投标报价中。</w:t>
            </w:r>
          </w:p>
        </w:tc>
      </w:tr>
      <w:tr w14:paraId="1821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BAB98E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八、指定联系人、联系方式：</w:t>
            </w:r>
            <w:r>
              <w:rPr>
                <w:rFonts w:hint="eastAsia" w:cs="宋体" w:asciiTheme="minorEastAsia" w:hAnsiTheme="minorEastAsia" w:eastAsiaTheme="minorEastAsia"/>
                <w:spacing w:val="0"/>
                <w:sz w:val="20"/>
                <w:szCs w:val="20"/>
                <w:highlight w:val="none"/>
                <w:lang w:eastAsia="zh-CN"/>
              </w:rPr>
              <w:t>中标人指定专人负责本项目的维护及联系工作，如更换联系人，应提前告知，并经采购人书面同意。（投标文件中提供指定联系人名单及联系方式，并标注在投标文件中）。</w:t>
            </w:r>
          </w:p>
        </w:tc>
      </w:tr>
      <w:tr w14:paraId="086F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6DF27E07">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w:t>
            </w:r>
            <w:r>
              <w:rPr>
                <w:rFonts w:hint="eastAsia" w:cs="宋体" w:asciiTheme="minorEastAsia" w:hAnsiTheme="minorEastAsia" w:eastAsiaTheme="minorEastAsia"/>
                <w:b/>
                <w:bCs/>
                <w:spacing w:val="0"/>
                <w:sz w:val="20"/>
                <w:szCs w:val="20"/>
                <w:highlight w:val="none"/>
                <w:lang w:eastAsia="zh-CN"/>
              </w:rPr>
              <w:t>九</w:t>
            </w:r>
            <w:r>
              <w:rPr>
                <w:rFonts w:hint="eastAsia" w:cs="宋体" w:asciiTheme="minorEastAsia" w:hAnsiTheme="minorEastAsia" w:eastAsiaTheme="minorEastAsia"/>
                <w:spacing w:val="0"/>
                <w:sz w:val="20"/>
                <w:szCs w:val="20"/>
                <w:highlight w:val="none"/>
                <w:lang w:eastAsia="zh-CN"/>
              </w:rPr>
              <w:t>、投标人在投标文件中提供本项目维保设备生产制造厂家关于维保售后服务的授权或技术合作协议,或提供核心配件的正规渠道采购记录复印件。（提供证明文件并标注在投标文件中）</w:t>
            </w:r>
          </w:p>
        </w:tc>
      </w:tr>
      <w:tr w14:paraId="1D89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7"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15EC24D">
            <w:pPr>
              <w:keepNext w:val="0"/>
              <w:keepLines w:val="0"/>
              <w:pageBreakBefore w:val="0"/>
              <w:kinsoku/>
              <w:wordWrap/>
              <w:overflowPunct/>
              <w:topLinePunct w:val="0"/>
              <w:autoSpaceDE/>
              <w:autoSpaceDN/>
              <w:bidi w:val="0"/>
              <w:spacing w:line="360" w:lineRule="auto"/>
              <w:ind w:right="0"/>
              <w:outlineLvl w:val="2"/>
              <w:rPr>
                <w:rFonts w:ascii="宋体" w:hAnsi="宋体" w:eastAsia="宋体" w:cs="宋体"/>
                <w:b/>
                <w:bCs/>
                <w:color w:val="auto"/>
                <w:spacing w:val="0"/>
                <w:sz w:val="20"/>
                <w:szCs w:val="20"/>
                <w:highlight w:val="none"/>
                <w:lang w:eastAsia="zh-CN"/>
              </w:rPr>
            </w:pPr>
            <w:r>
              <w:rPr>
                <w:rFonts w:hint="eastAsia" w:ascii="宋体" w:hAnsi="宋体" w:eastAsia="宋体" w:cs="宋体"/>
                <w:b/>
                <w:bCs/>
                <w:color w:val="auto"/>
                <w:spacing w:val="0"/>
                <w:sz w:val="20"/>
                <w:szCs w:val="20"/>
                <w:highlight w:val="none"/>
                <w:lang w:val="en-US" w:eastAsia="zh-CN"/>
              </w:rPr>
              <w:t>十、</w:t>
            </w:r>
            <w:r>
              <w:rPr>
                <w:rFonts w:hint="eastAsia" w:ascii="宋体" w:hAnsi="宋体" w:eastAsia="宋体" w:cs="宋体"/>
                <w:b/>
                <w:bCs/>
                <w:color w:val="auto"/>
                <w:spacing w:val="0"/>
                <w:sz w:val="20"/>
                <w:szCs w:val="20"/>
                <w:highlight w:val="none"/>
                <w:lang w:eastAsia="zh-CN"/>
              </w:rPr>
              <w:t>商务要求</w:t>
            </w:r>
          </w:p>
          <w:tbl>
            <w:tblPr>
              <w:tblStyle w:val="10"/>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7381"/>
            </w:tblGrid>
            <w:tr w14:paraId="32F5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698" w:type="dxa"/>
                  <w:vAlign w:val="center"/>
                </w:tcPr>
                <w:p w14:paraId="288EA559">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Style w:val="12"/>
                      <w:rFonts w:hint="eastAsia" w:ascii="宋体" w:hAnsi="宋体" w:eastAsia="宋体" w:cs="宋体"/>
                      <w:color w:val="auto"/>
                      <w:spacing w:val="0"/>
                      <w:sz w:val="20"/>
                      <w:szCs w:val="20"/>
                      <w:highlight w:val="none"/>
                      <w:lang w:eastAsia="zh-CN"/>
                    </w:rPr>
                    <w:t>标的提供的时间/服务期限</w:t>
                  </w:r>
                </w:p>
              </w:tc>
              <w:tc>
                <w:tcPr>
                  <w:tcW w:w="7381" w:type="dxa"/>
                  <w:vAlign w:val="center"/>
                </w:tcPr>
                <w:p w14:paraId="1A558189">
                  <w:pPr>
                    <w:pStyle w:val="9"/>
                    <w:keepNext w:val="0"/>
                    <w:keepLines w:val="0"/>
                    <w:pageBreakBefore w:val="0"/>
                    <w:kinsoku/>
                    <w:wordWrap/>
                    <w:overflowPunct/>
                    <w:topLinePunct w:val="0"/>
                    <w:autoSpaceDE/>
                    <w:autoSpaceDN/>
                    <w:bidi w:val="0"/>
                    <w:spacing w:after="0" w:line="360" w:lineRule="auto"/>
                    <w:ind w:left="0" w:leftChars="0" w:right="0" w:rightChars="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自双方合同签订之日起</w:t>
                  </w:r>
                  <w:r>
                    <w:rPr>
                      <w:rFonts w:hint="eastAsia" w:ascii="宋体" w:hAnsi="宋体" w:eastAsia="宋体" w:cs="宋体"/>
                      <w:color w:val="auto"/>
                      <w:spacing w:val="0"/>
                      <w:sz w:val="20"/>
                      <w:szCs w:val="20"/>
                      <w:highlight w:val="none"/>
                      <w:lang w:val="en-US" w:eastAsia="zh-CN"/>
                    </w:rPr>
                    <w:t>一</w:t>
                  </w:r>
                  <w:r>
                    <w:rPr>
                      <w:rFonts w:hint="eastAsia" w:ascii="宋体" w:hAnsi="宋体" w:eastAsia="宋体" w:cs="宋体"/>
                      <w:color w:val="auto"/>
                      <w:spacing w:val="0"/>
                      <w:sz w:val="20"/>
                      <w:szCs w:val="20"/>
                      <w:highlight w:val="none"/>
                      <w:lang w:eastAsia="zh-CN"/>
                    </w:rPr>
                    <w:t>年。</w:t>
                  </w:r>
                </w:p>
              </w:tc>
            </w:tr>
            <w:tr w14:paraId="2FCF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698" w:type="dxa"/>
                  <w:vAlign w:val="center"/>
                </w:tcPr>
                <w:p w14:paraId="3C2F3CA6">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标的提供的地点</w:t>
                  </w:r>
                </w:p>
              </w:tc>
              <w:tc>
                <w:tcPr>
                  <w:tcW w:w="7381" w:type="dxa"/>
                  <w:vAlign w:val="center"/>
                </w:tcPr>
                <w:p w14:paraId="67F86E1D">
                  <w:pPr>
                    <w:pStyle w:val="9"/>
                    <w:keepNext w:val="0"/>
                    <w:keepLines w:val="0"/>
                    <w:pageBreakBefore w:val="0"/>
                    <w:kinsoku/>
                    <w:wordWrap/>
                    <w:overflowPunct/>
                    <w:topLinePunct w:val="0"/>
                    <w:autoSpaceDE/>
                    <w:autoSpaceDN/>
                    <w:bidi w:val="0"/>
                    <w:spacing w:after="0" w:line="360" w:lineRule="auto"/>
                    <w:ind w:left="0" w:leftChars="0" w:right="0" w:rightChars="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采购人指定地点</w:t>
                  </w:r>
                </w:p>
              </w:tc>
            </w:tr>
            <w:tr w14:paraId="79B5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98" w:type="dxa"/>
                  <w:vAlign w:val="center"/>
                </w:tcPr>
                <w:p w14:paraId="0DDF7148">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投标有效期</w:t>
                  </w:r>
                </w:p>
              </w:tc>
              <w:tc>
                <w:tcPr>
                  <w:tcW w:w="7381" w:type="dxa"/>
                  <w:vAlign w:val="center"/>
                </w:tcPr>
                <w:p w14:paraId="16F60FFB">
                  <w:pPr>
                    <w:pStyle w:val="9"/>
                    <w:keepNext w:val="0"/>
                    <w:keepLines w:val="0"/>
                    <w:pageBreakBefore w:val="0"/>
                    <w:kinsoku/>
                    <w:wordWrap/>
                    <w:overflowPunct/>
                    <w:topLinePunct w:val="0"/>
                    <w:autoSpaceDE/>
                    <w:autoSpaceDN/>
                    <w:bidi w:val="0"/>
                    <w:spacing w:after="0" w:line="360" w:lineRule="auto"/>
                    <w:ind w:left="0" w:leftChars="0" w:right="0" w:rightChars="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从提交投标文件的截止之日起90日</w:t>
                  </w:r>
                </w:p>
              </w:tc>
            </w:tr>
            <w:tr w14:paraId="6149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8" w:hRule="atLeast"/>
                <w:jc w:val="center"/>
              </w:trPr>
              <w:tc>
                <w:tcPr>
                  <w:tcW w:w="1698" w:type="dxa"/>
                  <w:vAlign w:val="center"/>
                </w:tcPr>
                <w:p w14:paraId="0F13EC9B">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val="sv-SE" w:eastAsia="zh-CN"/>
                    </w:rPr>
                    <w:t>★</w:t>
                  </w:r>
                  <w:r>
                    <w:rPr>
                      <w:rFonts w:hint="eastAsia" w:ascii="宋体" w:hAnsi="宋体" w:eastAsia="宋体" w:cs="宋体"/>
                      <w:color w:val="auto"/>
                      <w:spacing w:val="0"/>
                      <w:sz w:val="20"/>
                      <w:szCs w:val="20"/>
                      <w:highlight w:val="none"/>
                      <w:lang w:eastAsia="zh-CN"/>
                    </w:rPr>
                    <w:t>付款方式</w:t>
                  </w:r>
                </w:p>
              </w:tc>
              <w:tc>
                <w:tcPr>
                  <w:tcW w:w="7381" w:type="dxa"/>
                  <w:vAlign w:val="center"/>
                </w:tcPr>
                <w:p w14:paraId="623EF631">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中标人无不履行或不适当履行本合同项下义务的情况下，且服务质量考核合格（附件</w:t>
                  </w:r>
                  <w:r>
                    <w:rPr>
                      <w:rFonts w:ascii="宋体" w:hAnsi="宋体" w:eastAsia="宋体" w:cs="宋体"/>
                      <w:color w:val="auto"/>
                      <w:spacing w:val="0"/>
                      <w:sz w:val="20"/>
                      <w:szCs w:val="20"/>
                      <w:highlight w:val="none"/>
                      <w:lang w:eastAsia="zh-CN"/>
                    </w:rPr>
                    <w:t>2</w:t>
                  </w:r>
                  <w:r>
                    <w:rPr>
                      <w:rFonts w:hint="eastAsia" w:ascii="宋体" w:hAnsi="宋体" w:eastAsia="宋体" w:cs="宋体"/>
                      <w:color w:val="auto"/>
                      <w:spacing w:val="0"/>
                      <w:sz w:val="20"/>
                      <w:szCs w:val="20"/>
                      <w:highlight w:val="none"/>
                      <w:lang w:eastAsia="zh-CN"/>
                    </w:rPr>
                    <w:t>，</w:t>
                  </w:r>
                  <w:r>
                    <w:rPr>
                      <w:rFonts w:ascii="宋体" w:hAnsi="宋体" w:eastAsia="宋体" w:cs="宋体"/>
                      <w:color w:val="auto"/>
                      <w:spacing w:val="0"/>
                      <w:sz w:val="20"/>
                      <w:szCs w:val="20"/>
                      <w:highlight w:val="none"/>
                      <w:lang w:eastAsia="zh-CN"/>
                    </w:rPr>
                    <w:t>90</w:t>
                  </w:r>
                  <w:r>
                    <w:rPr>
                      <w:rFonts w:hint="eastAsia" w:ascii="宋体" w:hAnsi="宋体" w:eastAsia="宋体" w:cs="宋体"/>
                      <w:color w:val="auto"/>
                      <w:spacing w:val="0"/>
                      <w:sz w:val="20"/>
                      <w:szCs w:val="20"/>
                      <w:highlight w:val="none"/>
                      <w:lang w:eastAsia="zh-CN"/>
                    </w:rPr>
                    <w:t>分以上），采购人按以下方式付款</w:t>
                  </w:r>
                  <w:bookmarkStart w:id="0" w:name="_GoBack"/>
                  <w:bookmarkEnd w:id="0"/>
                  <w:r>
                    <w:rPr>
                      <w:rFonts w:hint="eastAsia" w:ascii="宋体" w:hAnsi="宋体" w:eastAsia="宋体" w:cs="宋体"/>
                      <w:color w:val="auto"/>
                      <w:spacing w:val="0"/>
                      <w:sz w:val="20"/>
                      <w:szCs w:val="20"/>
                      <w:highlight w:val="none"/>
                      <w:lang w:eastAsia="zh-CN"/>
                    </w:rPr>
                    <w:t>。</w:t>
                  </w:r>
                </w:p>
                <w:p w14:paraId="6BD92866">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ascii="宋体" w:hAnsi="宋体" w:eastAsia="宋体" w:cs="宋体"/>
                      <w:color w:val="auto"/>
                      <w:spacing w:val="0"/>
                      <w:sz w:val="20"/>
                      <w:szCs w:val="20"/>
                      <w:highlight w:val="none"/>
                      <w:lang w:eastAsia="zh-CN"/>
                    </w:rPr>
                    <w:t>1</w:t>
                  </w:r>
                  <w:r>
                    <w:rPr>
                      <w:rFonts w:hint="eastAsia" w:ascii="宋体" w:hAnsi="宋体" w:eastAsia="宋体" w:cs="宋体"/>
                      <w:color w:val="auto"/>
                      <w:spacing w:val="0"/>
                      <w:sz w:val="20"/>
                      <w:szCs w:val="20"/>
                      <w:highlight w:val="none"/>
                      <w:lang w:eastAsia="zh-CN"/>
                    </w:rPr>
                    <w:t>期：支付比例</w:t>
                  </w:r>
                  <w:r>
                    <w:rPr>
                      <w:rFonts w:hint="eastAsia" w:ascii="宋体" w:hAnsi="宋体" w:eastAsia="宋体" w:cs="宋体"/>
                      <w:color w:val="auto"/>
                      <w:spacing w:val="0"/>
                      <w:sz w:val="20"/>
                      <w:szCs w:val="20"/>
                      <w:highlight w:val="none"/>
                      <w:lang w:val="en-US" w:eastAsia="zh-CN"/>
                    </w:rPr>
                    <w:t>9</w:t>
                  </w:r>
                  <w:r>
                    <w:rPr>
                      <w:rFonts w:ascii="宋体" w:hAnsi="宋体" w:eastAsia="宋体" w:cs="宋体"/>
                      <w:color w:val="auto"/>
                      <w:spacing w:val="0"/>
                      <w:sz w:val="20"/>
                      <w:szCs w:val="20"/>
                      <w:highlight w:val="none"/>
                      <w:lang w:eastAsia="zh-CN"/>
                    </w:rPr>
                    <w:t>0%</w:t>
                  </w:r>
                  <w:r>
                    <w:rPr>
                      <w:rFonts w:hint="eastAsia" w:ascii="宋体" w:hAnsi="宋体" w:eastAsia="宋体" w:cs="宋体"/>
                      <w:color w:val="auto"/>
                      <w:spacing w:val="0"/>
                      <w:sz w:val="20"/>
                      <w:szCs w:val="20"/>
                      <w:highlight w:val="none"/>
                      <w:lang w:eastAsia="zh-CN"/>
                    </w:rPr>
                    <w:t>，在中标人提供当年服务满六个月后，中标人提交服务报告，从届满之日起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个日历日内开具发票，采购人在收齐服务报告及发票之日起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个日历日内，向中标人支付合同总金额的</w:t>
                  </w:r>
                  <w:r>
                    <w:rPr>
                      <w:rFonts w:hint="eastAsia" w:ascii="宋体" w:hAnsi="宋体" w:eastAsia="宋体" w:cs="宋体"/>
                      <w:color w:val="auto"/>
                      <w:spacing w:val="0"/>
                      <w:sz w:val="20"/>
                      <w:szCs w:val="20"/>
                      <w:highlight w:val="none"/>
                      <w:lang w:val="en-US" w:eastAsia="zh-CN"/>
                    </w:rPr>
                    <w:t>9</w:t>
                  </w:r>
                  <w:r>
                    <w:rPr>
                      <w:rFonts w:ascii="宋体" w:hAnsi="宋体" w:eastAsia="宋体" w:cs="宋体"/>
                      <w:color w:val="auto"/>
                      <w:spacing w:val="0"/>
                      <w:sz w:val="20"/>
                      <w:szCs w:val="20"/>
                      <w:highlight w:val="none"/>
                      <w:lang w:eastAsia="zh-CN"/>
                    </w:rPr>
                    <w:t>0%</w:t>
                  </w:r>
                  <w:r>
                    <w:rPr>
                      <w:rFonts w:hint="eastAsia" w:ascii="宋体" w:hAnsi="宋体" w:eastAsia="宋体" w:cs="宋体"/>
                      <w:color w:val="auto"/>
                      <w:spacing w:val="0"/>
                      <w:sz w:val="20"/>
                      <w:szCs w:val="20"/>
                      <w:highlight w:val="none"/>
                      <w:lang w:eastAsia="zh-CN"/>
                    </w:rPr>
                    <w:t>；</w:t>
                  </w:r>
                </w:p>
                <w:p w14:paraId="10E0939C">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val="en-US" w:eastAsia="zh-CN"/>
                    </w:rPr>
                    <w:t>2</w:t>
                  </w:r>
                  <w:r>
                    <w:rPr>
                      <w:rFonts w:hint="eastAsia" w:ascii="宋体" w:hAnsi="宋体" w:eastAsia="宋体" w:cs="宋体"/>
                      <w:color w:val="auto"/>
                      <w:spacing w:val="0"/>
                      <w:sz w:val="20"/>
                      <w:szCs w:val="20"/>
                      <w:highlight w:val="none"/>
                      <w:lang w:eastAsia="zh-CN"/>
                    </w:rPr>
                    <w:t>期：支付比例</w:t>
                  </w:r>
                  <w:r>
                    <w:rPr>
                      <w:rFonts w:hint="eastAsia" w:ascii="宋体" w:hAnsi="宋体" w:eastAsia="宋体" w:cs="宋体"/>
                      <w:color w:val="auto"/>
                      <w:spacing w:val="0"/>
                      <w:sz w:val="20"/>
                      <w:szCs w:val="20"/>
                      <w:highlight w:val="none"/>
                      <w:lang w:val="en-US" w:eastAsia="zh-CN"/>
                    </w:rPr>
                    <w:t>10</w:t>
                  </w:r>
                  <w:r>
                    <w:rPr>
                      <w:rFonts w:ascii="宋体" w:hAnsi="宋体" w:eastAsia="宋体" w:cs="宋体"/>
                      <w:color w:val="auto"/>
                      <w:spacing w:val="0"/>
                      <w:sz w:val="20"/>
                      <w:szCs w:val="20"/>
                      <w:highlight w:val="none"/>
                      <w:lang w:eastAsia="zh-CN"/>
                    </w:rPr>
                    <w:t>%</w:t>
                  </w:r>
                  <w:r>
                    <w:rPr>
                      <w:rFonts w:hint="eastAsia" w:ascii="宋体" w:hAnsi="宋体" w:eastAsia="宋体" w:cs="宋体"/>
                      <w:color w:val="auto"/>
                      <w:spacing w:val="0"/>
                      <w:sz w:val="20"/>
                      <w:szCs w:val="20"/>
                      <w:highlight w:val="none"/>
                      <w:lang w:eastAsia="zh-CN"/>
                    </w:rPr>
                    <w:t>，合同期满后，中标人应从期满之日起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个日历日内向采购人提供服务报告、开具发票。采购人在收齐服务报告及等额有效发票后</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个日历日内将合同总金额的</w:t>
                  </w:r>
                  <w:r>
                    <w:rPr>
                      <w:rFonts w:hint="eastAsia" w:ascii="宋体" w:hAnsi="宋体" w:eastAsia="宋体" w:cs="宋体"/>
                      <w:color w:val="auto"/>
                      <w:spacing w:val="0"/>
                      <w:sz w:val="20"/>
                      <w:szCs w:val="20"/>
                      <w:highlight w:val="none"/>
                      <w:lang w:val="en-US" w:eastAsia="zh-CN"/>
                    </w:rPr>
                    <w:t>10</w:t>
                  </w:r>
                  <w:r>
                    <w:rPr>
                      <w:rFonts w:ascii="宋体" w:hAnsi="宋体" w:eastAsia="宋体" w:cs="宋体"/>
                      <w:color w:val="auto"/>
                      <w:spacing w:val="0"/>
                      <w:sz w:val="20"/>
                      <w:szCs w:val="20"/>
                      <w:highlight w:val="none"/>
                      <w:lang w:eastAsia="zh-CN"/>
                    </w:rPr>
                    <w:t>%</w:t>
                  </w:r>
                  <w:r>
                    <w:rPr>
                      <w:rFonts w:hint="eastAsia" w:ascii="宋体" w:hAnsi="宋体" w:eastAsia="宋体" w:cs="宋体"/>
                      <w:color w:val="auto"/>
                      <w:spacing w:val="0"/>
                      <w:sz w:val="20"/>
                      <w:szCs w:val="20"/>
                      <w:highlight w:val="none"/>
                      <w:lang w:eastAsia="zh-CN"/>
                    </w:rPr>
                    <w:t>支付给中标人。</w:t>
                  </w:r>
                </w:p>
                <w:p w14:paraId="7EA979FD">
                  <w:pPr>
                    <w:pStyle w:val="9"/>
                    <w:keepNext w:val="0"/>
                    <w:keepLines w:val="0"/>
                    <w:pageBreakBefore w:val="0"/>
                    <w:numPr>
                      <w:ilvl w:val="255"/>
                      <w:numId w:val="0"/>
                    </w:numPr>
                    <w:kinsoku/>
                    <w:wordWrap/>
                    <w:overflowPunct/>
                    <w:topLinePunct w:val="0"/>
                    <w:autoSpaceDE/>
                    <w:autoSpaceDN/>
                    <w:bidi w:val="0"/>
                    <w:spacing w:after="0" w:line="360" w:lineRule="auto"/>
                    <w:ind w:left="0" w:leftChars="0" w:right="0" w:rightChars="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每次支付相关款项前，中标人须提前向采购人提供合法有效的等额增值税普通发票及合格的服务报告，否则采购人有权不支付款项或顺延付款，无需承担任何迟延付款责任。如出现验收不合格、中标人不履行或不适当履行本合同项下义务、考核不合格等情形的，采购人有权不支付或顺延支付款项。若未支付款项不足以弥补采购人因中标人不履行或不适当履行本合同项下义务所造成的损失的，中标人应另行赔偿采购人的损失。</w:t>
                  </w:r>
                </w:p>
              </w:tc>
            </w:tr>
          </w:tbl>
          <w:p w14:paraId="2832CFC3">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p>
        </w:tc>
      </w:tr>
      <w:tr w14:paraId="6CD2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320F5BA6">
            <w:pPr>
              <w:keepNext w:val="0"/>
              <w:keepLines w:val="0"/>
              <w:pageBreakBefore w:val="0"/>
              <w:tabs>
                <w:tab w:val="left" w:pos="360"/>
              </w:tabs>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十</w:t>
            </w:r>
            <w:r>
              <w:rPr>
                <w:rFonts w:hint="eastAsia" w:cs="宋体" w:asciiTheme="minorEastAsia" w:hAnsiTheme="minorEastAsia" w:eastAsiaTheme="minorEastAsia"/>
                <w:b/>
                <w:bCs/>
                <w:spacing w:val="0"/>
                <w:sz w:val="20"/>
                <w:szCs w:val="20"/>
                <w:highlight w:val="none"/>
                <w:lang w:val="en-US" w:eastAsia="zh-CN"/>
              </w:rPr>
              <w:t>一</w:t>
            </w:r>
            <w:r>
              <w:rPr>
                <w:rFonts w:hint="eastAsia" w:cs="宋体" w:asciiTheme="minorEastAsia" w:hAnsiTheme="minorEastAsia" w:eastAsiaTheme="minorEastAsia"/>
                <w:b/>
                <w:bCs/>
                <w:spacing w:val="0"/>
                <w:sz w:val="20"/>
                <w:szCs w:val="20"/>
                <w:highlight w:val="none"/>
                <w:lang w:eastAsia="zh-CN"/>
              </w:rPr>
              <w:t>、所需的维保设备具体清单如下:</w:t>
            </w:r>
            <w:r>
              <w:rPr>
                <w:rFonts w:hint="eastAsia" w:cs="宋体" w:asciiTheme="minorEastAsia" w:hAnsiTheme="minorEastAsia" w:eastAsiaTheme="minorEastAsia"/>
                <w:spacing w:val="0"/>
                <w:sz w:val="20"/>
                <w:szCs w:val="20"/>
                <w:highlight w:val="none"/>
                <w:lang w:eastAsia="zh-CN"/>
              </w:rPr>
              <w:t xml:space="preserve"> </w:t>
            </w:r>
          </w:p>
          <w:tbl>
            <w:tblPr>
              <w:tblStyle w:val="10"/>
              <w:tblW w:w="6361" w:type="dxa"/>
              <w:jc w:val="center"/>
              <w:tblLayout w:type="fixed"/>
              <w:tblCellMar>
                <w:top w:w="0" w:type="dxa"/>
                <w:left w:w="0" w:type="dxa"/>
                <w:bottom w:w="0" w:type="dxa"/>
                <w:right w:w="0" w:type="dxa"/>
              </w:tblCellMar>
            </w:tblPr>
            <w:tblGrid>
              <w:gridCol w:w="1997"/>
              <w:gridCol w:w="1283"/>
              <w:gridCol w:w="2121"/>
              <w:gridCol w:w="960"/>
            </w:tblGrid>
            <w:tr w14:paraId="6B82D557">
              <w:tblPrEx>
                <w:tblCellMar>
                  <w:top w:w="0" w:type="dxa"/>
                  <w:left w:w="0" w:type="dxa"/>
                  <w:bottom w:w="0" w:type="dxa"/>
                  <w:right w:w="0" w:type="dxa"/>
                </w:tblCellMar>
              </w:tblPrEx>
              <w:trPr>
                <w:trHeight w:val="288" w:hRule="atLeast"/>
                <w:jc w:val="center"/>
              </w:trPr>
              <w:tc>
                <w:tcPr>
                  <w:tcW w:w="1997" w:type="dxa"/>
                  <w:tcBorders>
                    <w:top w:val="single" w:color="000000" w:sz="4" w:space="0"/>
                    <w:left w:val="single" w:color="000000" w:sz="4" w:space="0"/>
                    <w:bottom w:val="single" w:color="000000" w:sz="4" w:space="0"/>
                    <w:right w:val="single" w:color="000000" w:sz="4" w:space="0"/>
                  </w:tcBorders>
                </w:tcPr>
                <w:p w14:paraId="60E80002">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名称</w:t>
                  </w:r>
                </w:p>
              </w:tc>
              <w:tc>
                <w:tcPr>
                  <w:tcW w:w="1283"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39E62E50">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品牌</w:t>
                  </w:r>
                </w:p>
              </w:tc>
              <w:tc>
                <w:tcPr>
                  <w:tcW w:w="2121"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3CCC7403">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型号</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24262B25">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数量</w:t>
                  </w:r>
                </w:p>
              </w:tc>
            </w:tr>
            <w:tr w14:paraId="5A3C3F12">
              <w:tblPrEx>
                <w:tblCellMar>
                  <w:top w:w="0" w:type="dxa"/>
                  <w:left w:w="0" w:type="dxa"/>
                  <w:bottom w:w="0" w:type="dxa"/>
                  <w:right w:w="0" w:type="dxa"/>
                </w:tblCellMar>
              </w:tblPrEx>
              <w:trPr>
                <w:trHeight w:val="288" w:hRule="atLeast"/>
                <w:jc w:val="center"/>
              </w:trPr>
              <w:tc>
                <w:tcPr>
                  <w:tcW w:w="1997" w:type="dxa"/>
                  <w:tcBorders>
                    <w:top w:val="single" w:color="000000" w:sz="4" w:space="0"/>
                    <w:left w:val="single" w:color="000000" w:sz="4" w:space="0"/>
                    <w:bottom w:val="single" w:color="000000" w:sz="4" w:space="0"/>
                    <w:right w:val="single" w:color="000000" w:sz="4" w:space="0"/>
                  </w:tcBorders>
                </w:tcPr>
                <w:p w14:paraId="62094E27">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FF0000"/>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脉动真空灭菌器</w:t>
                  </w:r>
                </w:p>
              </w:tc>
              <w:tc>
                <w:tcPr>
                  <w:tcW w:w="1283"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1926A7D1">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FF0000"/>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新华</w:t>
                  </w:r>
                </w:p>
              </w:tc>
              <w:tc>
                <w:tcPr>
                  <w:tcW w:w="2121"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4E26B3A0">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FF0000"/>
                      <w:spacing w:val="0"/>
                      <w:sz w:val="20"/>
                      <w:szCs w:val="20"/>
                      <w:highlight w:val="none"/>
                      <w:lang w:eastAsia="zh-CN"/>
                    </w:rPr>
                  </w:pPr>
                  <w:r>
                    <w:rPr>
                      <w:rFonts w:hint="eastAsia" w:ascii="宋体" w:hAnsi="宋体" w:eastAsia="宋体" w:cs="宋体"/>
                      <w:i w:val="0"/>
                      <w:iCs w:val="0"/>
                      <w:caps w:val="0"/>
                      <w:color w:val="000000"/>
                      <w:spacing w:val="0"/>
                      <w:sz w:val="21"/>
                      <w:szCs w:val="21"/>
                      <w:shd w:val="clear" w:fill="FFFFFF"/>
                    </w:rPr>
                    <w:t>BIST-A-D910-D-B</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5BA73A76">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FF0000"/>
                      <w:spacing w:val="0"/>
                      <w:sz w:val="20"/>
                      <w:szCs w:val="20"/>
                      <w:highlight w:val="none"/>
                    </w:rPr>
                  </w:pPr>
                  <w:r>
                    <w:rPr>
                      <w:rFonts w:hint="eastAsia" w:cs="宋体" w:asciiTheme="minorEastAsia" w:hAnsiTheme="minorEastAsia" w:eastAsiaTheme="minorEastAsia"/>
                      <w:color w:val="FF0000"/>
                      <w:spacing w:val="0"/>
                      <w:sz w:val="20"/>
                      <w:szCs w:val="20"/>
                      <w:highlight w:val="none"/>
                      <w:lang w:val="en-US" w:eastAsia="zh-CN"/>
                    </w:rPr>
                    <w:t>1</w:t>
                  </w:r>
                  <w:r>
                    <w:rPr>
                      <w:rFonts w:hint="eastAsia" w:cs="宋体" w:asciiTheme="minorEastAsia" w:hAnsiTheme="minorEastAsia" w:eastAsiaTheme="minorEastAsia"/>
                      <w:color w:val="FF0000"/>
                      <w:spacing w:val="0"/>
                      <w:sz w:val="20"/>
                      <w:szCs w:val="20"/>
                      <w:highlight w:val="none"/>
                    </w:rPr>
                    <w:t>台</w:t>
                  </w:r>
                </w:p>
              </w:tc>
            </w:tr>
          </w:tbl>
          <w:p w14:paraId="3CE4E125">
            <w:pPr>
              <w:keepNext w:val="0"/>
              <w:keepLines w:val="0"/>
              <w:pageBreakBefore w:val="0"/>
              <w:tabs>
                <w:tab w:val="left" w:pos="360"/>
              </w:tabs>
              <w:kinsoku/>
              <w:wordWrap/>
              <w:overflowPunct/>
              <w:topLinePunct w:val="0"/>
              <w:autoSpaceDE/>
              <w:autoSpaceDN/>
              <w:bidi w:val="0"/>
              <w:spacing w:line="360" w:lineRule="auto"/>
              <w:ind w:right="0" w:firstLine="400" w:firstLineChars="200"/>
              <w:rPr>
                <w:rFonts w:cs="宋体" w:asciiTheme="minorEastAsia" w:hAnsiTheme="minorEastAsia" w:eastAsiaTheme="minorEastAsia"/>
                <w:spacing w:val="0"/>
                <w:sz w:val="20"/>
                <w:szCs w:val="20"/>
                <w:highlight w:val="none"/>
                <w:lang w:eastAsia="zh-CN"/>
              </w:rPr>
            </w:pPr>
          </w:p>
        </w:tc>
      </w:tr>
    </w:tbl>
    <w:p w14:paraId="7C90A6AE">
      <w:pPr>
        <w:pStyle w:val="2"/>
        <w:rPr>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5F"/>
    <w:rsid w:val="0007277E"/>
    <w:rsid w:val="00087DBC"/>
    <w:rsid w:val="000C7652"/>
    <w:rsid w:val="001159FF"/>
    <w:rsid w:val="0014406A"/>
    <w:rsid w:val="001971EA"/>
    <w:rsid w:val="002152AF"/>
    <w:rsid w:val="002E4F3A"/>
    <w:rsid w:val="002F1941"/>
    <w:rsid w:val="00346352"/>
    <w:rsid w:val="0035537B"/>
    <w:rsid w:val="004D623F"/>
    <w:rsid w:val="00526627"/>
    <w:rsid w:val="0059384D"/>
    <w:rsid w:val="00630BE8"/>
    <w:rsid w:val="006C13E7"/>
    <w:rsid w:val="00791654"/>
    <w:rsid w:val="007A5101"/>
    <w:rsid w:val="00811D35"/>
    <w:rsid w:val="00821F5F"/>
    <w:rsid w:val="009D2D83"/>
    <w:rsid w:val="00A06588"/>
    <w:rsid w:val="00A35D88"/>
    <w:rsid w:val="00A918F6"/>
    <w:rsid w:val="00AB3165"/>
    <w:rsid w:val="00AD3CC0"/>
    <w:rsid w:val="00B16A83"/>
    <w:rsid w:val="00C24F09"/>
    <w:rsid w:val="00D413A3"/>
    <w:rsid w:val="00D5640A"/>
    <w:rsid w:val="00E16309"/>
    <w:rsid w:val="00E2596B"/>
    <w:rsid w:val="00E27950"/>
    <w:rsid w:val="00E4212C"/>
    <w:rsid w:val="00E7469D"/>
    <w:rsid w:val="00F52DEB"/>
    <w:rsid w:val="00F53FC1"/>
    <w:rsid w:val="0D083575"/>
    <w:rsid w:val="2B7B3D52"/>
    <w:rsid w:val="2D8D0BB7"/>
    <w:rsid w:val="35AC154D"/>
    <w:rsid w:val="36FC5244"/>
    <w:rsid w:val="40022F93"/>
    <w:rsid w:val="5C0B0F91"/>
    <w:rsid w:val="5E460D9F"/>
    <w:rsid w:val="61B1109B"/>
    <w:rsid w:val="655304F4"/>
    <w:rsid w:val="68070BF5"/>
    <w:rsid w:val="69D84E75"/>
    <w:rsid w:val="702C2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imes New Roman" w:hAnsi="Times New Roman" w:eastAsia="Calibri" w:cs="Times New Roman"/>
      <w:sz w:val="22"/>
      <w:szCs w:val="22"/>
      <w:lang w:val="en-US" w:eastAsia="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unhideWhenUsed/>
    <w:qFormat/>
    <w:uiPriority w:val="1"/>
    <w:pPr>
      <w:spacing w:after="120"/>
    </w:pPr>
  </w:style>
  <w:style w:type="paragraph" w:styleId="3">
    <w:name w:val="annotation text"/>
    <w:basedOn w:val="1"/>
    <w:link w:val="16"/>
    <w:semiHidden/>
    <w:unhideWhenUsed/>
    <w:qFormat/>
    <w:uiPriority w:val="0"/>
  </w:style>
  <w:style w:type="paragraph" w:styleId="4">
    <w:name w:val="Body Text Indent"/>
    <w:basedOn w:val="1"/>
    <w:qFormat/>
    <w:uiPriority w:val="0"/>
    <w:pPr>
      <w:spacing w:after="120"/>
      <w:ind w:left="420" w:leftChars="200"/>
    </w:pPr>
  </w:style>
  <w:style w:type="paragraph" w:styleId="5">
    <w:name w:val="Balloon Text"/>
    <w:basedOn w:val="1"/>
    <w:link w:val="18"/>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8">
    <w:name w:val="Body Text Indent 3"/>
    <w:basedOn w:val="1"/>
    <w:link w:val="17"/>
    <w:semiHidden/>
    <w:unhideWhenUsed/>
    <w:qFormat/>
    <w:uiPriority w:val="99"/>
    <w:pPr>
      <w:spacing w:after="120"/>
      <w:ind w:left="420" w:leftChars="200"/>
    </w:pPr>
    <w:rPr>
      <w:sz w:val="16"/>
      <w:szCs w:val="16"/>
    </w:rPr>
  </w:style>
  <w:style w:type="paragraph" w:styleId="9">
    <w:name w:val="Body Text First Indent 2"/>
    <w:basedOn w:val="4"/>
    <w:qFormat/>
    <w:uiPriority w:val="0"/>
    <w:pPr>
      <w:ind w:firstLine="420" w:firstLineChars="200"/>
    </w:pPr>
  </w:style>
  <w:style w:type="character" w:styleId="12">
    <w:name w:val="annotation reference"/>
    <w:basedOn w:val="11"/>
    <w:semiHidden/>
    <w:unhideWhenUsed/>
    <w:qFormat/>
    <w:uiPriority w:val="0"/>
    <w:rPr>
      <w:sz w:val="21"/>
      <w:szCs w:val="21"/>
    </w:rPr>
  </w:style>
  <w:style w:type="character" w:customStyle="1" w:styleId="13">
    <w:name w:val="Header Char"/>
    <w:basedOn w:val="11"/>
    <w:link w:val="7"/>
    <w:qFormat/>
    <w:uiPriority w:val="99"/>
    <w:rPr>
      <w:sz w:val="18"/>
      <w:szCs w:val="18"/>
    </w:rPr>
  </w:style>
  <w:style w:type="character" w:customStyle="1" w:styleId="14">
    <w:name w:val="Footer Char"/>
    <w:basedOn w:val="11"/>
    <w:link w:val="6"/>
    <w:qFormat/>
    <w:uiPriority w:val="99"/>
    <w:rPr>
      <w:sz w:val="18"/>
      <w:szCs w:val="18"/>
    </w:rPr>
  </w:style>
  <w:style w:type="character" w:customStyle="1" w:styleId="15">
    <w:name w:val="Body Text Char"/>
    <w:basedOn w:val="11"/>
    <w:link w:val="2"/>
    <w:qFormat/>
    <w:uiPriority w:val="1"/>
    <w:rPr>
      <w:rFonts w:ascii="Times New Roman" w:hAnsi="Times New Roman" w:eastAsia="Calibri" w:cs="Times New Roman"/>
      <w:kern w:val="0"/>
      <w:sz w:val="22"/>
      <w:lang w:eastAsia="en-US"/>
    </w:rPr>
  </w:style>
  <w:style w:type="character" w:customStyle="1" w:styleId="16">
    <w:name w:val="Comment Text Char"/>
    <w:basedOn w:val="11"/>
    <w:link w:val="3"/>
    <w:semiHidden/>
    <w:qFormat/>
    <w:uiPriority w:val="0"/>
    <w:rPr>
      <w:rFonts w:ascii="Times New Roman" w:hAnsi="Times New Roman" w:eastAsia="Calibri" w:cs="Times New Roman"/>
      <w:kern w:val="0"/>
      <w:sz w:val="22"/>
      <w:lang w:eastAsia="en-US"/>
    </w:rPr>
  </w:style>
  <w:style w:type="character" w:customStyle="1" w:styleId="17">
    <w:name w:val="Body Text Indent 3 Char"/>
    <w:basedOn w:val="11"/>
    <w:link w:val="8"/>
    <w:semiHidden/>
    <w:qFormat/>
    <w:uiPriority w:val="99"/>
    <w:rPr>
      <w:rFonts w:ascii="Times New Roman" w:hAnsi="Times New Roman" w:eastAsia="Calibri" w:cs="Times New Roman"/>
      <w:kern w:val="0"/>
      <w:sz w:val="16"/>
      <w:szCs w:val="16"/>
      <w:lang w:eastAsia="en-US"/>
    </w:rPr>
  </w:style>
  <w:style w:type="character" w:customStyle="1" w:styleId="18">
    <w:name w:val="Balloon Text Char"/>
    <w:basedOn w:val="11"/>
    <w:link w:val="5"/>
    <w:semiHidden/>
    <w:qFormat/>
    <w:uiPriority w:val="99"/>
    <w:rPr>
      <w:rFonts w:ascii="Times New Roman" w:hAnsi="Times New Roman" w:eastAsia="Calibri" w:cs="Times New Roman"/>
      <w:kern w:val="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2509</Words>
  <Characters>2613</Characters>
  <Lines>10</Lines>
  <Paragraphs>3</Paragraphs>
  <TotalTime>0</TotalTime>
  <ScaleCrop>false</ScaleCrop>
  <LinksUpToDate>false</LinksUpToDate>
  <CharactersWithSpaces>2618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2025-08-11T05:48:00Z</dcterms:created>
  <dc:creator>微软用户</dc:creator>
  <cp:lastModifiedBy>胡伟坡</cp:lastModifiedBy>
  <dcterms:modified xsi:type="dcterms:W3CDTF">2026-07-14T07:37:00Z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eyJoZGlkIjoiMWNhNjEwNjEzM2FmNmM1OTc0NWQxMGUxNzdiMWY2NDQiLCJ1c2VySWQiOiIxNjU3MTU3OTk5In0=</vt:lpwstr>
  </property>
  <property fmtid="{D5CDD505-2E9C-101B-9397-08002B2CF9AE}" pid="3" name="KSOProductBuildVer">
    <vt:lpwstr>2052-12.1.0.26895</vt:lpwstr>
  </property>
  <property fmtid="{D5CDD505-2E9C-101B-9397-08002B2CF9AE}" pid="4" name="ICV">
    <vt:lpwstr>0CF683D5632148519B00393ED8999BAE_13</vt:lpwstr>
  </property>
</Properties>
</file>