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76" w:rsidRPr="00027BD2" w:rsidRDefault="00027BD2">
      <w:pPr>
        <w:rPr>
          <w:rFonts w:ascii="宋体" w:eastAsia="宋体" w:hAnsi="宋体"/>
          <w:b/>
          <w:sz w:val="22"/>
        </w:rPr>
      </w:pPr>
      <w:r w:rsidRPr="00027BD2">
        <w:rPr>
          <w:rFonts w:ascii="宋体" w:eastAsia="宋体" w:hAnsi="宋体" w:hint="eastAsia"/>
          <w:b/>
          <w:sz w:val="22"/>
        </w:rPr>
        <w:t>技术参数：</w:t>
      </w:r>
    </w:p>
    <w:tbl>
      <w:tblPr>
        <w:tblpPr w:leftFromText="180" w:rightFromText="180" w:vertAnchor="text" w:horzAnchor="page" w:tblpXSpec="center" w:tblpY="420"/>
        <w:tblOverlap w:val="never"/>
        <w:tblW w:w="91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648"/>
        <w:gridCol w:w="1503"/>
        <w:gridCol w:w="6961"/>
      </w:tblGrid>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序号</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技术参数</w:t>
            </w:r>
          </w:p>
        </w:tc>
        <w:tc>
          <w:tcPr>
            <w:tcW w:w="6961"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性能要求</w:t>
            </w:r>
          </w:p>
        </w:tc>
      </w:tr>
      <w:tr w:rsidR="006A4861" w:rsidTr="006A4861">
        <w:trPr>
          <w:trHeight w:val="861"/>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基本要求</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适用于</w:t>
            </w:r>
            <w:r>
              <w:rPr>
                <w:rFonts w:ascii="宋体" w:eastAsia="宋体" w:hAnsi="宋体" w:cs="宋体" w:hint="eastAsia"/>
                <w:sz w:val="20"/>
                <w:szCs w:val="20"/>
              </w:rPr>
              <w:t>手术中对椎体内转移性恶性病变的消融以缓解疼痛，以及外科手术过程中，将能量作用于骨内肿瘤组织，达到凝固和消融的目的，缓解标准疼痛治疗无效或不适合标准治疗的骨转移性肿瘤患者的骨病灶疼痛</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2</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智能操作系统</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智能主机可自动识别电极针尺寸，读取射频电极针的默认设置并自动预设消融时间，精确计算并预设最佳的功率平；</w:t>
            </w:r>
          </w:p>
          <w:p w:rsidR="006A4861" w:rsidRDefault="006A4861" w:rsidP="006A4861">
            <w:pPr>
              <w:rPr>
                <w:rFonts w:ascii="宋体" w:eastAsia="宋体" w:hAnsi="宋体" w:cs="宋体"/>
                <w:sz w:val="20"/>
                <w:szCs w:val="20"/>
              </w:rPr>
            </w:pPr>
            <w:r>
              <w:rPr>
                <w:rFonts w:ascii="宋体" w:eastAsia="宋体" w:hAnsi="宋体" w:cs="宋体" w:hint="eastAsia"/>
                <w:sz w:val="20"/>
                <w:szCs w:val="20"/>
              </w:rPr>
              <w:t>消融过程中通过智能演算法监测温度和功率。</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pacing w:val="4"/>
                <w:sz w:val="20"/>
                <w:szCs w:val="20"/>
              </w:rPr>
            </w:pPr>
            <w:r>
              <w:rPr>
                <w:rFonts w:ascii="宋体" w:eastAsia="宋体" w:hAnsi="宋体" w:cs="宋体" w:hint="eastAsia"/>
                <w:spacing w:val="4"/>
                <w:sz w:val="20"/>
                <w:szCs w:val="20"/>
              </w:rPr>
              <w:t>3</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智能触屏</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主机屏幕可显示消融实时数据及图形，并能触控操作，方便快捷</w:t>
            </w:r>
          </w:p>
        </w:tc>
      </w:tr>
      <w:tr w:rsidR="006A4861" w:rsidTr="006A4861">
        <w:trPr>
          <w:trHeight w:val="1030"/>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4</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智能温度控制及实时监测</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采用智能温度控制，可自动控制射频功率输送以保持目标温度；电极之间的最高温度90-95℃。射频电极针远端热电偶监测温度，可提供实时温度控制，在消融稳定期远端保持70℃或其他设定目标温度。</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pacing w:val="4"/>
                <w:sz w:val="20"/>
                <w:szCs w:val="20"/>
              </w:rPr>
            </w:pPr>
            <w:r>
              <w:rPr>
                <w:rFonts w:ascii="宋体" w:eastAsia="宋体" w:hAnsi="宋体" w:cs="宋体" w:hint="eastAsia"/>
                <w:spacing w:val="4"/>
                <w:sz w:val="20"/>
                <w:szCs w:val="20"/>
              </w:rPr>
              <w:t>5</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温度、时间参数可调节</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可以调整消融温度和恒温时间（从达到消融温度到消融结束的时间），从而改变消融范围。</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6</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多种规格射频电极针可选</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射频电极</w:t>
            </w:r>
            <w:proofErr w:type="gramStart"/>
            <w:r>
              <w:rPr>
                <w:rFonts w:ascii="宋体" w:eastAsia="宋体" w:hAnsi="宋体" w:cs="宋体" w:hint="eastAsia"/>
                <w:sz w:val="20"/>
                <w:szCs w:val="20"/>
              </w:rPr>
              <w:t>针有效</w:t>
            </w:r>
            <w:proofErr w:type="gramEnd"/>
            <w:r>
              <w:rPr>
                <w:rFonts w:ascii="宋体" w:eastAsia="宋体" w:hAnsi="宋体" w:cs="宋体" w:hint="eastAsia"/>
                <w:sz w:val="20"/>
                <w:szCs w:val="20"/>
              </w:rPr>
              <w:t>工作长度有4个规格：7mm，10mm，15mm，20mm，可根据临床需求选择相应规格。</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7</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同轴双</w:t>
            </w:r>
            <w:proofErr w:type="gramStart"/>
            <w:r>
              <w:rPr>
                <w:rFonts w:ascii="宋体" w:eastAsia="宋体" w:hAnsi="宋体" w:cs="宋体" w:hint="eastAsia"/>
                <w:sz w:val="20"/>
                <w:szCs w:val="20"/>
              </w:rPr>
              <w:t>极</w:t>
            </w:r>
            <w:proofErr w:type="gramEnd"/>
            <w:r>
              <w:rPr>
                <w:rFonts w:ascii="宋体" w:eastAsia="宋体" w:hAnsi="宋体" w:cs="宋体" w:hint="eastAsia"/>
                <w:sz w:val="20"/>
                <w:szCs w:val="20"/>
              </w:rPr>
              <w:t>电极针</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一根电极针配备</w:t>
            </w:r>
            <w:proofErr w:type="gramStart"/>
            <w:r>
              <w:rPr>
                <w:rFonts w:ascii="宋体" w:eastAsia="宋体" w:hAnsi="宋体" w:cs="宋体" w:hint="eastAsia"/>
                <w:sz w:val="20"/>
                <w:szCs w:val="20"/>
              </w:rPr>
              <w:t>正负双</w:t>
            </w:r>
            <w:proofErr w:type="gramEnd"/>
            <w:r>
              <w:rPr>
                <w:rFonts w:ascii="宋体" w:eastAsia="宋体" w:hAnsi="宋体" w:cs="宋体" w:hint="eastAsia"/>
                <w:sz w:val="20"/>
                <w:szCs w:val="20"/>
              </w:rPr>
              <w:t>极，两极间传递电流产生能量，形成热场；患者无需接地垫，单一切口，仅在手术部位产生局部电流。</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8</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单/双通道消融</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可单通道（单侧）或双通道（同时双侧）消融</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pacing w:val="4"/>
                <w:sz w:val="20"/>
                <w:szCs w:val="20"/>
              </w:rPr>
            </w:pPr>
            <w:r>
              <w:rPr>
                <w:rFonts w:ascii="宋体" w:eastAsia="宋体" w:hAnsi="宋体" w:cs="宋体" w:hint="eastAsia"/>
                <w:spacing w:val="4"/>
                <w:sz w:val="20"/>
                <w:szCs w:val="20"/>
              </w:rPr>
              <w:t>9</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多种消融模式</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具有冷却射频消融模式、非冷却射频消融模式及回撤消融模式，也可自定义消融模式，根据临床需求进行选择，并有效避免肿瘤的针道种植。</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10</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额外独立热电偶监测</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28G独立热电偶，推荐用于周围结构需要温度监测的情况。对于破裂的皮质壁、后椎管和周围的重要神经结构提供额外的温度监测。可同时使用两个，高测温报警默认为45℃。适用于测量整个射频消融过程中的组织温度。</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11</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自动冷却循环系统</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主机有冷却灌注泵，电极针有内置水循环冷却，以避免能量蓄积造成周围组织热损伤，最大限度降低组织碳化的可能性，增加消融范围</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12</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功率实时监测系统</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实时跟踪输出功率并监测阻抗，跟踪功率以降低对相邻组织结构</w:t>
            </w:r>
            <w:proofErr w:type="gramStart"/>
            <w:r>
              <w:rPr>
                <w:rFonts w:ascii="宋体" w:eastAsia="宋体" w:hAnsi="宋体" w:cs="宋体" w:hint="eastAsia"/>
                <w:sz w:val="20"/>
                <w:szCs w:val="20"/>
              </w:rPr>
              <w:t>造成热损的</w:t>
            </w:r>
            <w:proofErr w:type="gramEnd"/>
            <w:r>
              <w:rPr>
                <w:rFonts w:ascii="宋体" w:eastAsia="宋体" w:hAnsi="宋体" w:cs="宋体" w:hint="eastAsia"/>
                <w:sz w:val="20"/>
                <w:szCs w:val="20"/>
              </w:rPr>
              <w:t>风险，监测阻抗可在周围组织碳化发生前自动暂停消融，确保手术安全。每通道20W，防止组织焦化，满足更大消融范围，精准控制射频能量。</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13</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阻抗实时监测系统</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阻抗范围为40至1000Ω，1Ω分辨率。智能主机拥有阻抗的智能切断算法，当阻抗比基线阻抗高200ohms时切断，如果阻抗太高，无法让组织再水化，系统会自动暂停射频传输。</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pacing w:val="4"/>
                <w:sz w:val="20"/>
                <w:szCs w:val="20"/>
              </w:rPr>
            </w:pPr>
            <w:r>
              <w:rPr>
                <w:rFonts w:ascii="宋体" w:eastAsia="宋体" w:hAnsi="宋体" w:cs="宋体" w:hint="eastAsia"/>
                <w:spacing w:val="4"/>
                <w:sz w:val="20"/>
                <w:szCs w:val="20"/>
              </w:rPr>
              <w:t>14</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主动安全控制系统</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可自动监测每个信道的是否有意外触发，如果有意外触发则说明温度、阻抗或功率已达其设定的安全值上限，系统会自动显示报警消息，并停止射频能量输送。</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pacing w:val="4"/>
                <w:sz w:val="20"/>
                <w:szCs w:val="20"/>
              </w:rPr>
            </w:pPr>
            <w:r>
              <w:rPr>
                <w:rFonts w:ascii="宋体" w:eastAsia="宋体" w:hAnsi="宋体" w:cs="宋体" w:hint="eastAsia"/>
                <w:spacing w:val="4"/>
                <w:sz w:val="20"/>
                <w:szCs w:val="20"/>
              </w:rPr>
              <w:t>15</w:t>
            </w:r>
          </w:p>
        </w:tc>
        <w:tc>
          <w:tcPr>
            <w:tcW w:w="1503"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消融数据下载</w:t>
            </w:r>
          </w:p>
        </w:tc>
        <w:tc>
          <w:tcPr>
            <w:tcW w:w="6961" w:type="dxa"/>
            <w:shd w:val="clear" w:color="auto" w:fill="auto"/>
            <w:vAlign w:val="center"/>
          </w:tcPr>
          <w:p w:rsidR="006A4861" w:rsidRDefault="006A4861" w:rsidP="006A4861">
            <w:pPr>
              <w:rPr>
                <w:rFonts w:ascii="宋体" w:eastAsia="宋体" w:hAnsi="宋体" w:cs="宋体"/>
                <w:sz w:val="20"/>
                <w:szCs w:val="20"/>
              </w:rPr>
            </w:pPr>
            <w:r>
              <w:rPr>
                <w:rFonts w:ascii="宋体" w:eastAsia="宋体" w:hAnsi="宋体" w:cs="宋体" w:hint="eastAsia"/>
                <w:sz w:val="20"/>
                <w:szCs w:val="20"/>
              </w:rPr>
              <w:t>提供完整的消融期间温度、功率等数据下载</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16</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射频能量要求</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 xml:space="preserve">465.1 kHz±3％，谐波含量＜-15 </w:t>
            </w:r>
            <w:proofErr w:type="spellStart"/>
            <w:r>
              <w:rPr>
                <w:rFonts w:ascii="宋体" w:eastAsia="宋体" w:hAnsi="宋体" w:cs="宋体" w:hint="eastAsia"/>
                <w:sz w:val="20"/>
                <w:szCs w:val="20"/>
              </w:rPr>
              <w:t>dBc</w:t>
            </w:r>
            <w:proofErr w:type="spellEnd"/>
            <w:r>
              <w:rPr>
                <w:rFonts w:ascii="宋体" w:eastAsia="宋体" w:hAnsi="宋体" w:cs="宋体" w:hint="eastAsia"/>
                <w:sz w:val="20"/>
                <w:szCs w:val="20"/>
              </w:rPr>
              <w:t>的准正弦电压波形。</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17</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最大功率</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40 W（阻抗范围为100 Ω-400 Ω）。一旦超过此范围，主机将会降低可用功率，以便符合指定的电压和电流限值。</w:t>
            </w:r>
          </w:p>
        </w:tc>
      </w:tr>
      <w:tr w:rsidR="006A4861" w:rsidTr="006A4861">
        <w:trPr>
          <w:trHeight w:val="455"/>
        </w:trPr>
        <w:tc>
          <w:tcPr>
            <w:tcW w:w="648" w:type="dxa"/>
            <w:shd w:val="clear" w:color="auto" w:fill="auto"/>
            <w:vAlign w:val="center"/>
          </w:tcPr>
          <w:p w:rsidR="006A4861" w:rsidRDefault="006A4861" w:rsidP="006A4861">
            <w:pPr>
              <w:jc w:val="center"/>
              <w:rPr>
                <w:rFonts w:ascii="宋体" w:eastAsia="宋体" w:hAnsi="宋体" w:cs="宋体"/>
                <w:sz w:val="20"/>
                <w:szCs w:val="20"/>
              </w:rPr>
            </w:pPr>
            <w:r>
              <w:rPr>
                <w:rFonts w:ascii="宋体" w:eastAsia="宋体" w:hAnsi="宋体" w:cs="宋体" w:hint="eastAsia"/>
                <w:sz w:val="20"/>
                <w:szCs w:val="20"/>
              </w:rPr>
              <w:t>18</w:t>
            </w:r>
          </w:p>
        </w:tc>
        <w:tc>
          <w:tcPr>
            <w:tcW w:w="1503" w:type="dxa"/>
            <w:shd w:val="clear" w:color="auto" w:fill="auto"/>
            <w:vAlign w:val="center"/>
          </w:tcPr>
          <w:p w:rsidR="006A4861" w:rsidRDefault="006A4861" w:rsidP="006A4861">
            <w:pPr>
              <w:jc w:val="center"/>
              <w:rPr>
                <w:rFonts w:ascii="宋体" w:eastAsia="宋体" w:hAnsi="宋体" w:cs="宋体"/>
                <w:spacing w:val="-1"/>
                <w:sz w:val="20"/>
                <w:szCs w:val="20"/>
              </w:rPr>
            </w:pPr>
            <w:r>
              <w:rPr>
                <w:rFonts w:ascii="宋体" w:eastAsia="宋体" w:hAnsi="宋体" w:cs="宋体" w:hint="eastAsia"/>
                <w:sz w:val="20"/>
                <w:szCs w:val="20"/>
              </w:rPr>
              <w:t>硬件关断限值</w:t>
            </w:r>
          </w:p>
        </w:tc>
        <w:tc>
          <w:tcPr>
            <w:tcW w:w="6961" w:type="dxa"/>
            <w:shd w:val="clear" w:color="auto" w:fill="auto"/>
            <w:vAlign w:val="center"/>
          </w:tcPr>
          <w:p w:rsidR="006A4861" w:rsidRDefault="006A4861" w:rsidP="006A4861">
            <w:pPr>
              <w:rPr>
                <w:rFonts w:ascii="宋体" w:eastAsia="宋体" w:hAnsi="宋体" w:cs="宋体"/>
                <w:spacing w:val="-1"/>
                <w:sz w:val="20"/>
                <w:szCs w:val="20"/>
              </w:rPr>
            </w:pPr>
            <w:r>
              <w:rPr>
                <w:rFonts w:ascii="宋体" w:eastAsia="宋体" w:hAnsi="宋体" w:cs="宋体" w:hint="eastAsia"/>
                <w:sz w:val="20"/>
                <w:szCs w:val="20"/>
              </w:rPr>
              <w:t>测得的射频功率：&gt; 60 W；测得的射频电压：&gt; 200 VRMS；测得的射频电流：&gt; 1.0 ARMS以上满足其一即触发关断。</w:t>
            </w:r>
          </w:p>
        </w:tc>
      </w:tr>
    </w:tbl>
    <w:p w:rsidR="00027BD2" w:rsidRPr="00027BD2" w:rsidRDefault="00027BD2" w:rsidP="00027BD2">
      <w:pPr>
        <w:rPr>
          <w:rFonts w:ascii="宋体" w:eastAsia="宋体" w:hAnsi="宋体"/>
        </w:rPr>
      </w:pPr>
    </w:p>
    <w:p w:rsidR="00270874" w:rsidRPr="00270874" w:rsidRDefault="00270874" w:rsidP="00027BD2">
      <w:pPr>
        <w:rPr>
          <w:rFonts w:ascii="宋体" w:eastAsia="宋体" w:hAnsi="宋体"/>
          <w:b/>
        </w:rPr>
      </w:pPr>
      <w:r w:rsidRPr="00270874">
        <w:rPr>
          <w:rFonts w:ascii="宋体" w:eastAsia="宋体" w:hAnsi="宋体" w:hint="eastAsia"/>
          <w:b/>
        </w:rPr>
        <w:lastRenderedPageBreak/>
        <w:t>二、配置清单：</w:t>
      </w:r>
    </w:p>
    <w:p w:rsidR="006A4861" w:rsidRDefault="00027BD2" w:rsidP="00027BD2">
      <w:pPr>
        <w:rPr>
          <w:rFonts w:ascii="宋体" w:eastAsia="宋体" w:hAnsi="宋体"/>
        </w:rPr>
      </w:pPr>
      <w:r w:rsidRPr="00027BD2">
        <w:rPr>
          <w:rFonts w:ascii="宋体" w:eastAsia="宋体" w:hAnsi="宋体"/>
        </w:rPr>
        <w:t xml:space="preserve">  </w:t>
      </w:r>
    </w:p>
    <w:tbl>
      <w:tblPr>
        <w:tblpPr w:leftFromText="180" w:rightFromText="180" w:vertAnchor="text" w:horzAnchor="page" w:tblpX="2758" w:tblpY="121"/>
        <w:tblOverlap w:val="never"/>
        <w:tblW w:w="48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013"/>
        <w:gridCol w:w="2428"/>
        <w:gridCol w:w="1416"/>
      </w:tblGrid>
      <w:tr w:rsidR="00553D95" w:rsidTr="00553D95">
        <w:trPr>
          <w:trHeight w:val="510"/>
        </w:trPr>
        <w:tc>
          <w:tcPr>
            <w:tcW w:w="1013" w:type="dxa"/>
            <w:vAlign w:val="center"/>
          </w:tcPr>
          <w:p w:rsidR="00553D95" w:rsidRDefault="00553D95" w:rsidP="00553D95">
            <w:pPr>
              <w:ind w:left="170" w:right="204"/>
              <w:jc w:val="center"/>
              <w:rPr>
                <w:rFonts w:ascii="宋体" w:eastAsia="宋体" w:hAnsi="宋体" w:cs="宋体"/>
                <w:spacing w:val="-2"/>
                <w:sz w:val="24"/>
              </w:rPr>
            </w:pPr>
            <w:r>
              <w:rPr>
                <w:rFonts w:ascii="宋体" w:eastAsia="宋体" w:hAnsi="宋体" w:cs="宋体" w:hint="eastAsia"/>
                <w:spacing w:val="-2"/>
                <w:sz w:val="24"/>
                <w:szCs w:val="24"/>
              </w:rPr>
              <w:t>序号</w:t>
            </w:r>
          </w:p>
        </w:tc>
        <w:tc>
          <w:tcPr>
            <w:tcW w:w="2428" w:type="dxa"/>
            <w:vAlign w:val="center"/>
          </w:tcPr>
          <w:p w:rsidR="00553D95" w:rsidRDefault="00553D95" w:rsidP="00553D95">
            <w:pPr>
              <w:jc w:val="center"/>
              <w:rPr>
                <w:rFonts w:ascii="宋体" w:eastAsia="宋体" w:hAnsi="宋体" w:cs="宋体"/>
                <w:sz w:val="24"/>
              </w:rPr>
            </w:pPr>
            <w:r>
              <w:rPr>
                <w:rFonts w:ascii="宋体" w:eastAsia="宋体" w:hAnsi="宋体" w:cs="宋体" w:hint="eastAsia"/>
                <w:spacing w:val="14"/>
                <w:sz w:val="24"/>
                <w:szCs w:val="24"/>
              </w:rPr>
              <w:t>名称</w:t>
            </w:r>
          </w:p>
        </w:tc>
        <w:tc>
          <w:tcPr>
            <w:tcW w:w="1416"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数量</w:t>
            </w:r>
          </w:p>
        </w:tc>
      </w:tr>
      <w:tr w:rsidR="00553D95" w:rsidTr="00553D95">
        <w:trPr>
          <w:trHeight w:val="510"/>
        </w:trPr>
        <w:tc>
          <w:tcPr>
            <w:tcW w:w="1013" w:type="dxa"/>
            <w:vAlign w:val="center"/>
          </w:tcPr>
          <w:p w:rsidR="00553D95" w:rsidRDefault="00553D95" w:rsidP="00553D95">
            <w:pPr>
              <w:ind w:left="170" w:right="204"/>
              <w:jc w:val="center"/>
              <w:rPr>
                <w:rFonts w:ascii="宋体" w:eastAsia="宋体" w:hAnsi="宋体" w:cs="宋体"/>
                <w:spacing w:val="-2"/>
                <w:sz w:val="24"/>
              </w:rPr>
            </w:pPr>
            <w:r>
              <w:rPr>
                <w:rFonts w:ascii="宋体" w:eastAsia="宋体" w:hAnsi="宋体" w:cs="宋体" w:hint="eastAsia"/>
                <w:spacing w:val="-2"/>
                <w:sz w:val="24"/>
                <w:szCs w:val="24"/>
              </w:rPr>
              <w:t>1</w:t>
            </w:r>
          </w:p>
        </w:tc>
        <w:tc>
          <w:tcPr>
            <w:tcW w:w="2428"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主机</w:t>
            </w:r>
            <w:bookmarkStart w:id="0" w:name="_GoBack"/>
            <w:bookmarkEnd w:id="0"/>
          </w:p>
        </w:tc>
        <w:tc>
          <w:tcPr>
            <w:tcW w:w="1416"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1</w:t>
            </w:r>
          </w:p>
        </w:tc>
      </w:tr>
      <w:tr w:rsidR="00553D95" w:rsidTr="00553D95">
        <w:trPr>
          <w:trHeight w:val="510"/>
        </w:trPr>
        <w:tc>
          <w:tcPr>
            <w:tcW w:w="1013" w:type="dxa"/>
            <w:vAlign w:val="center"/>
          </w:tcPr>
          <w:p w:rsidR="00553D95" w:rsidRDefault="00553D95" w:rsidP="00553D95">
            <w:pPr>
              <w:ind w:left="170" w:right="204"/>
              <w:jc w:val="center"/>
              <w:rPr>
                <w:rFonts w:ascii="宋体" w:eastAsia="宋体" w:hAnsi="宋体" w:cs="宋体"/>
                <w:spacing w:val="-2"/>
                <w:sz w:val="24"/>
              </w:rPr>
            </w:pPr>
            <w:r>
              <w:rPr>
                <w:rFonts w:ascii="宋体" w:eastAsia="宋体" w:hAnsi="宋体" w:cs="宋体" w:hint="eastAsia"/>
                <w:spacing w:val="-2"/>
                <w:sz w:val="24"/>
                <w:szCs w:val="24"/>
              </w:rPr>
              <w:t>2</w:t>
            </w:r>
          </w:p>
        </w:tc>
        <w:tc>
          <w:tcPr>
            <w:tcW w:w="2428"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灌注泵</w:t>
            </w:r>
          </w:p>
        </w:tc>
        <w:tc>
          <w:tcPr>
            <w:tcW w:w="1416"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1</w:t>
            </w:r>
          </w:p>
        </w:tc>
      </w:tr>
      <w:tr w:rsidR="00553D95" w:rsidTr="00553D95">
        <w:trPr>
          <w:trHeight w:val="510"/>
        </w:trPr>
        <w:tc>
          <w:tcPr>
            <w:tcW w:w="1013" w:type="dxa"/>
            <w:vAlign w:val="center"/>
          </w:tcPr>
          <w:p w:rsidR="00553D95" w:rsidRDefault="00553D95" w:rsidP="00553D95">
            <w:pPr>
              <w:ind w:left="170" w:right="204"/>
              <w:jc w:val="center"/>
              <w:rPr>
                <w:rFonts w:ascii="宋体" w:eastAsia="宋体" w:hAnsi="宋体" w:cs="宋体"/>
                <w:spacing w:val="-2"/>
                <w:sz w:val="24"/>
              </w:rPr>
            </w:pPr>
            <w:r>
              <w:rPr>
                <w:rFonts w:ascii="宋体" w:eastAsia="宋体" w:hAnsi="宋体" w:cs="宋体" w:hint="eastAsia"/>
                <w:spacing w:val="-2"/>
                <w:sz w:val="24"/>
                <w:szCs w:val="24"/>
              </w:rPr>
              <w:t>3</w:t>
            </w:r>
          </w:p>
        </w:tc>
        <w:tc>
          <w:tcPr>
            <w:tcW w:w="2428"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电缆线</w:t>
            </w:r>
          </w:p>
        </w:tc>
        <w:tc>
          <w:tcPr>
            <w:tcW w:w="1416"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1</w:t>
            </w:r>
          </w:p>
        </w:tc>
      </w:tr>
      <w:tr w:rsidR="00553D95" w:rsidTr="00553D95">
        <w:trPr>
          <w:trHeight w:val="510"/>
        </w:trPr>
        <w:tc>
          <w:tcPr>
            <w:tcW w:w="1013" w:type="dxa"/>
            <w:vAlign w:val="center"/>
          </w:tcPr>
          <w:p w:rsidR="00553D95" w:rsidRDefault="00553D95" w:rsidP="00553D95">
            <w:pPr>
              <w:ind w:left="170" w:right="204"/>
              <w:jc w:val="center"/>
              <w:rPr>
                <w:rFonts w:ascii="宋体" w:eastAsia="宋体" w:hAnsi="宋体" w:cs="宋体"/>
                <w:spacing w:val="-2"/>
                <w:sz w:val="24"/>
              </w:rPr>
            </w:pPr>
            <w:r>
              <w:rPr>
                <w:rFonts w:ascii="宋体" w:eastAsia="宋体" w:hAnsi="宋体" w:cs="宋体" w:hint="eastAsia"/>
                <w:spacing w:val="-2"/>
                <w:sz w:val="24"/>
                <w:szCs w:val="24"/>
              </w:rPr>
              <w:t>4</w:t>
            </w:r>
          </w:p>
        </w:tc>
        <w:tc>
          <w:tcPr>
            <w:tcW w:w="2428"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连接器</w:t>
            </w:r>
          </w:p>
        </w:tc>
        <w:tc>
          <w:tcPr>
            <w:tcW w:w="1416" w:type="dxa"/>
            <w:vAlign w:val="center"/>
          </w:tcPr>
          <w:p w:rsidR="00553D95" w:rsidRDefault="00553D95" w:rsidP="00553D95">
            <w:pPr>
              <w:jc w:val="center"/>
              <w:rPr>
                <w:rFonts w:ascii="宋体" w:eastAsia="宋体" w:hAnsi="宋体" w:cs="宋体"/>
                <w:spacing w:val="14"/>
                <w:sz w:val="24"/>
              </w:rPr>
            </w:pPr>
            <w:r>
              <w:rPr>
                <w:rFonts w:ascii="宋体" w:eastAsia="宋体" w:hAnsi="宋体" w:cs="宋体" w:hint="eastAsia"/>
                <w:spacing w:val="14"/>
                <w:sz w:val="24"/>
                <w:szCs w:val="24"/>
              </w:rPr>
              <w:t>1</w:t>
            </w:r>
          </w:p>
        </w:tc>
      </w:tr>
    </w:tbl>
    <w:p w:rsidR="00270874" w:rsidRDefault="00270874" w:rsidP="00027BD2">
      <w:pPr>
        <w:rPr>
          <w:rFonts w:ascii="宋体" w:eastAsia="宋体" w:hAnsi="宋体"/>
        </w:rPr>
      </w:pPr>
    </w:p>
    <w:p w:rsidR="00270874" w:rsidRPr="00270874" w:rsidRDefault="00027BD2" w:rsidP="00027BD2">
      <w:pPr>
        <w:rPr>
          <w:rFonts w:ascii="宋体" w:eastAsia="宋体" w:hAnsi="宋体"/>
          <w:b/>
        </w:rPr>
      </w:pPr>
      <w:r w:rsidRPr="00270874">
        <w:rPr>
          <w:rFonts w:ascii="宋体" w:eastAsia="宋体" w:hAnsi="宋体"/>
          <w:b/>
        </w:rPr>
        <w:t xml:space="preserve">   </w:t>
      </w: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6A4861" w:rsidRDefault="006A4861" w:rsidP="00270874">
      <w:pPr>
        <w:rPr>
          <w:rFonts w:ascii="宋体" w:eastAsia="宋体" w:hAnsi="宋体"/>
          <w:b/>
        </w:rPr>
      </w:pPr>
    </w:p>
    <w:p w:rsidR="00270874" w:rsidRPr="00270874" w:rsidRDefault="00270874" w:rsidP="00270874">
      <w:pPr>
        <w:rPr>
          <w:rFonts w:ascii="宋体" w:eastAsia="宋体" w:hAnsi="宋体"/>
          <w:b/>
        </w:rPr>
      </w:pPr>
      <w:r w:rsidRPr="00270874">
        <w:rPr>
          <w:rFonts w:ascii="宋体" w:eastAsia="宋体" w:hAnsi="宋体" w:hint="eastAsia"/>
          <w:b/>
        </w:rPr>
        <w:t>三、服务要求</w:t>
      </w:r>
    </w:p>
    <w:p w:rsidR="00270874" w:rsidRPr="00270874" w:rsidRDefault="00270874" w:rsidP="00270874">
      <w:pPr>
        <w:rPr>
          <w:rFonts w:ascii="宋体" w:eastAsia="宋体" w:hAnsi="宋体"/>
        </w:rPr>
      </w:pPr>
      <w:r w:rsidRPr="00270874">
        <w:rPr>
          <w:rFonts w:ascii="宋体" w:eastAsia="宋体" w:hAnsi="宋体"/>
        </w:rPr>
        <w:t>1、提供详细的产品使用说明书和操作指南。</w:t>
      </w:r>
    </w:p>
    <w:p w:rsidR="00270874" w:rsidRPr="00270874" w:rsidRDefault="00270874" w:rsidP="00270874">
      <w:pPr>
        <w:rPr>
          <w:rFonts w:ascii="宋体" w:eastAsia="宋体" w:hAnsi="宋体"/>
        </w:rPr>
      </w:pPr>
      <w:r w:rsidRPr="00270874">
        <w:rPr>
          <w:rFonts w:ascii="宋体" w:eastAsia="宋体" w:hAnsi="宋体"/>
        </w:rPr>
        <w:t>2、提供安装和调试服务，确保产品正确安装并能正常使用。</w:t>
      </w:r>
    </w:p>
    <w:p w:rsidR="00270874" w:rsidRPr="00270874" w:rsidRDefault="00270874" w:rsidP="00270874">
      <w:pPr>
        <w:rPr>
          <w:rFonts w:ascii="宋体" w:eastAsia="宋体" w:hAnsi="宋体"/>
        </w:rPr>
      </w:pPr>
      <w:r w:rsidRPr="00270874">
        <w:rPr>
          <w:rFonts w:ascii="宋体" w:eastAsia="宋体" w:hAnsi="宋体"/>
        </w:rPr>
        <w:t>3、提供操作培训，使科室工作人员能够熟练掌握产品的使用方法。</w:t>
      </w:r>
    </w:p>
    <w:p w:rsidR="00270874" w:rsidRDefault="00270874" w:rsidP="00270874">
      <w:pPr>
        <w:rPr>
          <w:rFonts w:ascii="宋体" w:eastAsia="宋体" w:hAnsi="宋体"/>
        </w:rPr>
      </w:pPr>
      <w:r w:rsidRPr="00270874">
        <w:rPr>
          <w:rFonts w:ascii="宋体" w:eastAsia="宋体" w:hAnsi="宋体"/>
        </w:rPr>
        <w:t>4、提供≥3年的免费保修期，在此期间内非人为损坏由供应商负责免费维修或更换。</w:t>
      </w:r>
    </w:p>
    <w:p w:rsidR="00270874" w:rsidRPr="00270874" w:rsidRDefault="00270874" w:rsidP="00270874">
      <w:pPr>
        <w:rPr>
          <w:rFonts w:ascii="宋体" w:eastAsia="宋体" w:hAnsi="宋体"/>
        </w:rPr>
      </w:pPr>
    </w:p>
    <w:p w:rsidR="00270874" w:rsidRPr="00270874" w:rsidRDefault="00270874" w:rsidP="00270874">
      <w:pPr>
        <w:rPr>
          <w:rFonts w:ascii="宋体" w:eastAsia="宋体" w:hAnsi="宋体"/>
          <w:b/>
        </w:rPr>
      </w:pPr>
      <w:r w:rsidRPr="00270874">
        <w:rPr>
          <w:rFonts w:ascii="宋体" w:eastAsia="宋体" w:hAnsi="宋体" w:hint="eastAsia"/>
          <w:b/>
        </w:rPr>
        <w:t>四、商务要求</w:t>
      </w:r>
    </w:p>
    <w:p w:rsidR="00270874" w:rsidRPr="00270874" w:rsidRDefault="00270874" w:rsidP="00270874">
      <w:pPr>
        <w:rPr>
          <w:rFonts w:ascii="宋体" w:eastAsia="宋体" w:hAnsi="宋体"/>
        </w:rPr>
      </w:pPr>
      <w:r w:rsidRPr="00270874">
        <w:rPr>
          <w:rFonts w:ascii="宋体" w:eastAsia="宋体" w:hAnsi="宋体"/>
        </w:rPr>
        <w:t>1、时间要求：中标供应商应在接到送货通知后7天内完成设备的交付，并在15天内完成安装调试。</w:t>
      </w:r>
    </w:p>
    <w:p w:rsidR="00270874" w:rsidRPr="00270874" w:rsidRDefault="00270874" w:rsidP="00270874">
      <w:pPr>
        <w:rPr>
          <w:rFonts w:ascii="宋体" w:eastAsia="宋体" w:hAnsi="宋体"/>
        </w:rPr>
      </w:pPr>
      <w:r w:rsidRPr="00270874">
        <w:rPr>
          <w:rFonts w:ascii="宋体" w:eastAsia="宋体" w:hAnsi="宋体"/>
        </w:rPr>
        <w:t>2、地点要求：交货地点院方指定地点。</w:t>
      </w:r>
    </w:p>
    <w:p w:rsidR="00270874" w:rsidRPr="00270874" w:rsidRDefault="00270874" w:rsidP="00270874">
      <w:pPr>
        <w:rPr>
          <w:rFonts w:ascii="宋体" w:eastAsia="宋体" w:hAnsi="宋体"/>
        </w:rPr>
      </w:pPr>
      <w:r w:rsidRPr="00270874">
        <w:rPr>
          <w:rFonts w:ascii="宋体" w:eastAsia="宋体" w:hAnsi="宋体"/>
        </w:rPr>
        <w:t>3、财务要求：货到交货地点并经验收合格后，在货物验收合格和收到厂家开具的等额增值税普通发票等付款材料之日起30个工作日内向乙方支付100%货款。</w:t>
      </w:r>
    </w:p>
    <w:p w:rsidR="00270874" w:rsidRPr="00270874" w:rsidRDefault="00270874" w:rsidP="00270874">
      <w:pPr>
        <w:rPr>
          <w:rFonts w:ascii="宋体" w:eastAsia="宋体" w:hAnsi="宋体"/>
        </w:rPr>
      </w:pPr>
      <w:r w:rsidRPr="00270874">
        <w:rPr>
          <w:rFonts w:ascii="宋体" w:eastAsia="宋体" w:hAnsi="宋体"/>
        </w:rPr>
        <w:t>4、所有款项均通过银行转账方式支付。</w:t>
      </w:r>
    </w:p>
    <w:p w:rsidR="00270874" w:rsidRPr="00270874" w:rsidRDefault="00270874" w:rsidP="00270874">
      <w:pPr>
        <w:rPr>
          <w:rFonts w:ascii="宋体" w:eastAsia="宋体" w:hAnsi="宋体"/>
        </w:rPr>
      </w:pPr>
      <w:r w:rsidRPr="00270874">
        <w:rPr>
          <w:rFonts w:ascii="宋体" w:eastAsia="宋体" w:hAnsi="宋体"/>
        </w:rPr>
        <w:t>5、包装与运输：设备需采用防震包装，确保运输过程中的安全。运输费用由供应商承担，运输途中的一切风险由供应商负责。</w:t>
      </w:r>
    </w:p>
    <w:p w:rsidR="00027BD2" w:rsidRPr="00027BD2" w:rsidRDefault="00270874" w:rsidP="00270874">
      <w:pPr>
        <w:rPr>
          <w:rFonts w:ascii="宋体" w:eastAsia="宋体" w:hAnsi="宋体"/>
        </w:rPr>
      </w:pPr>
      <w:r w:rsidRPr="00270874">
        <w:rPr>
          <w:rFonts w:ascii="宋体" w:eastAsia="宋体" w:hAnsi="宋体"/>
        </w:rPr>
        <w:t>6、需遵守医院供应</w:t>
      </w:r>
      <w:proofErr w:type="gramStart"/>
      <w:r w:rsidRPr="00270874">
        <w:rPr>
          <w:rFonts w:ascii="宋体" w:eastAsia="宋体" w:hAnsi="宋体"/>
        </w:rPr>
        <w:t>商管理</w:t>
      </w:r>
      <w:proofErr w:type="gramEnd"/>
      <w:r w:rsidRPr="00270874">
        <w:rPr>
          <w:rFonts w:ascii="宋体" w:eastAsia="宋体" w:hAnsi="宋体"/>
        </w:rPr>
        <w:t>规定（规定详见</w:t>
      </w:r>
      <w:proofErr w:type="gramStart"/>
      <w:r w:rsidRPr="00270874">
        <w:rPr>
          <w:rFonts w:ascii="宋体" w:eastAsia="宋体" w:hAnsi="宋体"/>
        </w:rPr>
        <w:t>医院官网</w:t>
      </w:r>
      <w:proofErr w:type="gramEnd"/>
      <w:r w:rsidRPr="00270874">
        <w:rPr>
          <w:rFonts w:ascii="宋体" w:eastAsia="宋体" w:hAnsi="宋体"/>
        </w:rPr>
        <w:t>-采购公告置顶内容）。</w:t>
      </w:r>
      <w:r w:rsidR="00027BD2" w:rsidRPr="00027BD2">
        <w:rPr>
          <w:rFonts w:ascii="宋体" w:eastAsia="宋体" w:hAnsi="宋体"/>
        </w:rPr>
        <w:t xml:space="preserve">                                                             </w:t>
      </w:r>
    </w:p>
    <w:sectPr w:rsidR="00027BD2" w:rsidRPr="00027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5131"/>
    <w:multiLevelType w:val="hybridMultilevel"/>
    <w:tmpl w:val="1A14EE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5D"/>
    <w:rsid w:val="00027BD2"/>
    <w:rsid w:val="001C785C"/>
    <w:rsid w:val="00270874"/>
    <w:rsid w:val="00314976"/>
    <w:rsid w:val="00323785"/>
    <w:rsid w:val="00536F5D"/>
    <w:rsid w:val="00553D95"/>
    <w:rsid w:val="006A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8B17"/>
  <w15:chartTrackingRefBased/>
  <w15:docId w15:val="{5A4F5E9F-C2E0-415A-AAFA-29142B6B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861"/>
    <w:pPr>
      <w:ind w:firstLineChars="200" w:firstLine="420"/>
    </w:pPr>
  </w:style>
  <w:style w:type="paragraph" w:styleId="a4">
    <w:name w:val="Balloon Text"/>
    <w:basedOn w:val="a"/>
    <w:link w:val="a5"/>
    <w:uiPriority w:val="99"/>
    <w:semiHidden/>
    <w:unhideWhenUsed/>
    <w:rsid w:val="00553D95"/>
    <w:rPr>
      <w:sz w:val="18"/>
      <w:szCs w:val="18"/>
    </w:rPr>
  </w:style>
  <w:style w:type="character" w:customStyle="1" w:styleId="a5">
    <w:name w:val="批注框文本 字符"/>
    <w:basedOn w:val="a0"/>
    <w:link w:val="a4"/>
    <w:uiPriority w:val="99"/>
    <w:semiHidden/>
    <w:rsid w:val="00553D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277</Words>
  <Characters>1580</Characters>
  <Application>Microsoft Office Word</Application>
  <DocSecurity>0</DocSecurity>
  <Lines>13</Lines>
  <Paragraphs>3</Paragraphs>
  <ScaleCrop>false</ScaleCrop>
  <Company>微软中国</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刘翠</dc:creator>
  <cp:keywords/>
  <dc:description/>
  <cp:lastModifiedBy>刘翠</cp:lastModifiedBy>
  <cp:revision>6</cp:revision>
  <cp:lastPrinted>2025-12-23T10:45:00Z</cp:lastPrinted>
  <dcterms:created xsi:type="dcterms:W3CDTF">2025-12-23T02:14:00Z</dcterms:created>
  <dcterms:modified xsi:type="dcterms:W3CDTF">2025-12-23T10:45:00Z</dcterms:modified>
</cp:coreProperties>
</file>