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575AA">
      <w:pPr>
        <w:framePr w:wrap="auto" w:vAnchor="margin" w:hAnchor="text" w:yAlign="inline"/>
        <w:spacing w:line="24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rtl w:val="0"/>
          <w:lang w:val="zh-CN" w:eastAsia="zh-CN"/>
        </w:rPr>
        <w:t>全自动样本制备系统</w:t>
      </w:r>
      <w:r>
        <w:rPr>
          <w:rFonts w:hint="eastAsia" w:ascii="宋体" w:hAnsi="宋体" w:eastAsia="宋体" w:cs="宋体"/>
          <w:b/>
          <w:bCs/>
          <w:sz w:val="24"/>
          <w:szCs w:val="24"/>
          <w:rtl w:val="0"/>
          <w:lang w:val="zh-TW" w:eastAsia="zh-TW"/>
        </w:rPr>
        <w:t>技术参数</w:t>
      </w:r>
    </w:p>
    <w:p w14:paraId="6860EE8B">
      <w:pPr>
        <w:framePr w:wrap="auto" w:vAnchor="margin" w:hAnchor="text" w:yAlign="inline"/>
        <w:numPr>
          <w:ilvl w:val="0"/>
          <w:numId w:val="1"/>
        </w:numPr>
        <w:shd w:val="clear" w:color="auto" w:fill="auto"/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采购需求</w:t>
      </w:r>
    </w:p>
    <w:p w14:paraId="622990BC">
      <w:pPr>
        <w:framePr w:wrap="auto" w:vAnchor="margin" w:hAnchor="text" w:yAlign="inline"/>
        <w:numPr>
          <w:numId w:val="0"/>
        </w:numPr>
        <w:shd w:val="clear" w:color="auto" w:fill="auto"/>
        <w:spacing w:line="240" w:lineRule="auto"/>
        <w:ind w:leftChars="0" w:right="0" w:rightChars="0"/>
        <w:rPr>
          <w:rFonts w:hint="eastAsia" w:ascii="仿宋" w:hAnsi="仿宋" w:eastAsia="仿宋" w:cs="仿宋"/>
          <w:b w:val="0"/>
          <w:bCs w:val="0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总体要求</w:t>
      </w:r>
    </w:p>
    <w:p w14:paraId="6BC66FF4">
      <w:pPr>
        <w:framePr w:wrap="auto" w:vAnchor="margin" w:hAnchor="text" w:yAlign="inline"/>
        <w:shd w:val="clear" w:color="auto" w:fill="auto"/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▲1.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全自动样本制备系统应具备精密加样、传输、加热混匀、磁吸分离等功能模块，通过控制软件调用各模块，实现对试剂和样本的自动化分配及对临床样本的前处理，全程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无需人员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值守。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ab/>
      </w:r>
    </w:p>
    <w:p w14:paraId="25D94D14">
      <w:pPr>
        <w:framePr w:wrap="auto" w:vAnchor="margin" w:hAnchor="text" w:yAlign="inline"/>
        <w:shd w:val="clear" w:color="auto" w:fill="auto"/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设备应采用磁珠法进行样本前处理，同时兼容磁珠萃取及磁珠去杂两种工作模式。</w:t>
      </w:r>
    </w:p>
    <w:p w14:paraId="359CF27F">
      <w:pPr>
        <w:framePr w:wrap="auto" w:vAnchor="margin" w:hAnchor="text" w:yAlign="inline"/>
        <w:shd w:val="clear" w:color="auto" w:fill="auto"/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设备应具有医疗器械注册证或备案凭证。</w:t>
      </w:r>
    </w:p>
    <w:p w14:paraId="418B044A">
      <w:pPr>
        <w:framePr w:wrap="auto" w:vAnchor="margin" w:hAnchor="text" w:yAlign="inline"/>
        <w:shd w:val="clear" w:color="auto" w:fill="auto"/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▲4.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设备应具备完整的样本前处理能力，无需额外配备氮吹仪、离心机、正压萃取仪、负压萃取仪等辅助设备即可完成前处理流程。</w:t>
      </w:r>
    </w:p>
    <w:p w14:paraId="0CC68D39">
      <w:pPr>
        <w:framePr w:wrap="auto" w:vAnchor="margin" w:hAnchor="text" w:yAlign="inline"/>
        <w:shd w:val="clear" w:color="auto" w:fill="auto"/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▲5.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设备应能完成不少于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个临床检测项目的样本前处理，项目范围包括但不限于：水溶性维生素、脂溶性维生素、维生素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D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、类固醇激素、儿茶酚胺及其代谢物检测等。</w:t>
      </w:r>
    </w:p>
    <w:p w14:paraId="2F2B3DCF">
      <w:pPr>
        <w:framePr w:wrap="auto" w:vAnchor="margin" w:hAnchor="text" w:yAlign="inline"/>
        <w:shd w:val="clear" w:color="auto" w:fill="auto"/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硬件要求</w:t>
      </w:r>
    </w:p>
    <w:p w14:paraId="09964DEA">
      <w:pPr>
        <w:framePr w:wrap="auto" w:vAnchor="margin" w:hAnchor="text" w:yAlign="inline"/>
        <w:shd w:val="clear" w:color="auto" w:fill="auto"/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移液模块：配置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≥8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个移液通道，可实现等距及非等距加样，加样间距调节范围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10-270mm或更广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；具备压力感应及电容感应探测功能，可完成自动装针及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Tip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头装针、脱针实时监测。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ab/>
      </w:r>
    </w:p>
    <w:p w14:paraId="5C755B70">
      <w:pPr>
        <w:framePr w:wrap="auto" w:vAnchor="margin" w:hAnchor="text" w:yAlign="inline"/>
        <w:shd w:val="clear" w:color="auto" w:fill="auto"/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样本位：单批次可容纳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≥96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个样本，兼容多种规格样本管（如采血管、离心管等）。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ab/>
      </w:r>
    </w:p>
    <w:p w14:paraId="6729245B">
      <w:pPr>
        <w:framePr w:wrap="auto" w:vAnchor="margin" w:hAnchor="text" w:yAlign="inline"/>
        <w:shd w:val="clear" w:color="auto" w:fill="auto"/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采用非一次加样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tip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头去除废液结构，降低耗材使用量。</w:t>
      </w:r>
    </w:p>
    <w:p w14:paraId="5D42465F">
      <w:pPr>
        <w:framePr w:wrap="auto" w:vAnchor="margin" w:hAnchor="text" w:yAlign="inline"/>
        <w:shd w:val="clear" w:color="auto" w:fill="auto"/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条码扫描：配备条码扫描模块，可扫描录入样本信息。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ab/>
      </w:r>
    </w:p>
    <w:p w14:paraId="2717B83D">
      <w:pPr>
        <w:framePr w:wrap="auto" w:vAnchor="margin" w:hAnchor="text" w:yAlign="inline"/>
        <w:shd w:val="clear" w:color="auto" w:fill="auto"/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试剂管位：兼容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5mL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及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2mL等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规格试剂管，可实现全自动标准曲线制备。</w:t>
      </w:r>
    </w:p>
    <w:p w14:paraId="13415921">
      <w:pPr>
        <w:framePr w:wrap="auto" w:vAnchor="margin" w:hAnchor="text" w:yAlign="inline"/>
        <w:shd w:val="clear" w:color="auto" w:fill="auto"/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6.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加样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Tip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头位：可同时加载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≥8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盒一次性加样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Tip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头。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ab/>
      </w:r>
    </w:p>
    <w:p w14:paraId="1B1F4B21">
      <w:pPr>
        <w:framePr w:wrap="auto" w:vAnchor="margin" w:hAnchor="text" w:yAlign="inline"/>
        <w:shd w:val="clear" w:color="auto" w:fill="auto"/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7.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磁吸模块：具备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≥2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种磁吸模式，包含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但不限于1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个侧磁吸模块及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个底磁吸模块。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ab/>
      </w:r>
    </w:p>
    <w:p w14:paraId="43037EFF">
      <w:pPr>
        <w:framePr w:wrap="auto" w:vAnchor="margin" w:hAnchor="text" w:yAlign="inline"/>
        <w:shd w:val="clear" w:color="auto" w:fill="auto"/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8.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震荡孵育模块：具备震荡、混匀及孵育功能，震荡速度可调，最高转速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≥1200rpm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；采用摇床式磁珠混匀结构。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ab/>
      </w:r>
    </w:p>
    <w:p w14:paraId="6FE5A8FF">
      <w:pPr>
        <w:framePr w:wrap="auto" w:vAnchor="margin" w:hAnchor="text" w:yAlign="inline"/>
        <w:shd w:val="clear" w:color="auto" w:fill="auto"/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9.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磁珠容器：兼容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≥2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种规格的磁珠容器，可根据检测项目按需切换。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ab/>
      </w:r>
    </w:p>
    <w:p w14:paraId="1188DFB6">
      <w:pPr>
        <w:framePr w:wrap="auto" w:vAnchor="margin" w:hAnchor="text" w:yAlign="inline"/>
        <w:shd w:val="clear" w:color="auto" w:fill="auto"/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10.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安全防护：配备安全防护面板及门锁感应器，支持任意时间暂停及异常事件处理。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ab/>
      </w:r>
    </w:p>
    <w:p w14:paraId="1CE48913">
      <w:pPr>
        <w:framePr w:wrap="auto" w:vAnchor="margin" w:hAnchor="text" w:yAlign="inline"/>
        <w:shd w:val="clear" w:color="auto" w:fill="auto"/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11.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消毒排风系统：内置紫外消毒系统及顶部独立排风系统，防止有毒试剂外泄。</w:t>
      </w:r>
    </w:p>
    <w:p w14:paraId="275B7F55">
      <w:pPr>
        <w:framePr w:wrap="auto" w:vAnchor="margin" w:hAnchor="text" w:yAlign="inline"/>
        <w:shd w:val="clear" w:color="auto" w:fill="auto"/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软件系统</w:t>
      </w:r>
    </w:p>
    <w:p w14:paraId="52AE7ED8">
      <w:pPr>
        <w:framePr w:wrap="auto" w:vAnchor="margin" w:hAnchor="text" w:yAlign="inline"/>
        <w:shd w:val="clear" w:color="auto" w:fill="auto"/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1.具备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一体化触控屏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配备图形化操作界面，支持向导式操作及一键式程序运行。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ab/>
      </w:r>
    </w:p>
    <w:p w14:paraId="6A16CAF6">
      <w:pPr>
        <w:framePr w:wrap="auto" w:vAnchor="margin" w:hAnchor="text" w:yAlign="inline"/>
        <w:shd w:val="clear" w:color="auto" w:fill="auto"/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内置多种样本前处理程序，可根据预设或自定义流程调用各模块，兼容多种样本预处理程序。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ab/>
      </w:r>
    </w:p>
    <w:p w14:paraId="2E89A4C0">
      <w:pPr>
        <w:framePr w:wrap="auto" w:vAnchor="margin" w:hAnchor="text" w:yAlign="inline"/>
        <w:shd w:val="clear" w:color="auto" w:fill="auto"/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各功能模块可单独控制，具备日志记录功能，支持实验记录追溯。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ab/>
      </w:r>
    </w:p>
    <w:p w14:paraId="2AB7DDC8">
      <w:pPr>
        <w:framePr w:wrap="auto" w:vAnchor="margin" w:hAnchor="text" w:yAlign="inline"/>
        <w:shd w:val="clear" w:color="auto" w:fill="auto"/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具备开机自检、错误报警及全过程闭环状态监测功能。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ab/>
      </w:r>
    </w:p>
    <w:p w14:paraId="24202B91">
      <w:pPr>
        <w:framePr w:wrap="auto" w:vAnchor="margin" w:hAnchor="text" w:yAlign="inline"/>
        <w:shd w:val="clear" w:color="auto" w:fill="auto"/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5.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可实时显示程序运行进程，支持异常行为分析与报警。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ab/>
      </w:r>
    </w:p>
    <w:p w14:paraId="79ADA85D">
      <w:pPr>
        <w:framePr w:wrap="auto" w:vAnchor="margin" w:hAnchor="text" w:yAlign="inline"/>
        <w:shd w:val="clear" w:color="auto" w:fill="auto"/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zh-TW" w:eastAsia="zh-TW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性能指标</w:t>
      </w:r>
    </w:p>
    <w:p w14:paraId="0BFBCC5A">
      <w:pPr>
        <w:framePr w:wrap="auto" w:vAnchor="margin" w:hAnchor="text" w:yAlign="inline"/>
        <w:shd w:val="clear" w:color="auto" w:fill="auto"/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移液准确性：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±1.6μL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40μL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）、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±2.0μL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100μL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）、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±2.5μL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160μL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）、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±4.0μL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200μL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）、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±5.0μL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500μL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）、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±8.0μL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800μL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或更优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ab/>
      </w:r>
    </w:p>
    <w:p w14:paraId="65AA29B2">
      <w:pPr>
        <w:framePr w:wrap="auto" w:vAnchor="margin" w:hAnchor="text" w:yAlign="inline"/>
        <w:shd w:val="clear" w:color="auto" w:fill="auto"/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移液重复性：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CV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值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≤1%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100μL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）、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CV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值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≤0.5%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500μL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）</w:t>
      </w:r>
    </w:p>
    <w:p w14:paraId="6D514615">
      <w:pPr>
        <w:framePr w:wrap="auto" w:vAnchor="margin" w:hAnchor="text" w:yAlign="inline"/>
        <w:shd w:val="clear" w:color="auto" w:fill="auto"/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CN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CN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移液一致性：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100μL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加样时极差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≤5μL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；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500μL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加样时极差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≤25μL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ab/>
      </w:r>
    </w:p>
    <w:p w14:paraId="156B01C5">
      <w:pPr>
        <w:framePr w:wrap="auto" w:vAnchor="margin" w:hAnchor="text" w:yAlign="inline"/>
        <w:shd w:val="clear" w:color="auto" w:fill="auto"/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CN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加热温度范围：室温～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en-US" w:eastAsia="zh-CN"/>
        </w:rPr>
        <w:t>95℃或更优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rtl w:val="0"/>
          <w:lang w:val="zh-TW" w:eastAsia="zh-TW"/>
        </w:rPr>
        <w:t>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ab/>
      </w:r>
    </w:p>
    <w:p w14:paraId="3B7718FB">
      <w:pPr>
        <w:framePr w:wrap="auto" w:vAnchor="margin" w:hAnchor="text" w:yAlign="inline"/>
        <w:spacing w:line="240" w:lineRule="auto"/>
        <w:rPr>
          <w:rFonts w:hint="eastAsia" w:ascii="宋体" w:hAnsi="宋体" w:eastAsia="宋体" w:cs="宋体"/>
          <w:sz w:val="24"/>
          <w:szCs w:val="24"/>
          <w:lang w:val="en-US"/>
        </w:rPr>
      </w:pPr>
    </w:p>
    <w:p w14:paraId="06FB9BB2">
      <w:pPr>
        <w:framePr w:wrap="auto" w:vAnchor="margin" w:hAnchor="text" w:yAlign="inline"/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二、服务要求</w:t>
      </w:r>
    </w:p>
    <w:p w14:paraId="24AE55E9">
      <w:pPr>
        <w:framePr w:wrap="auto" w:vAnchor="margin" w:hAnchor="text" w:yAlign="inline"/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1.提供送货、安装和调试服务，确保产品正确安装并能正常使用。</w:t>
      </w:r>
    </w:p>
    <w:p w14:paraId="0CE6E6E1">
      <w:pPr>
        <w:framePr w:wrap="auto" w:vAnchor="margin" w:hAnchor="text" w:yAlign="inline"/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2.提供操作培训，使科室工作人员能够熟练掌握产品的使用方法。</w:t>
      </w:r>
    </w:p>
    <w:p w14:paraId="52BAD909">
      <w:pPr>
        <w:framePr w:wrap="auto" w:vAnchor="margin" w:hAnchor="text" w:yAlign="inline"/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3.提供≥3年的免费保修期，在此期间内非人为损坏由供应商负责免费维修或更换。</w:t>
      </w:r>
    </w:p>
    <w:p w14:paraId="21C3B697">
      <w:pPr>
        <w:framePr w:wrap="auto" w:vAnchor="margin" w:hAnchor="text" w:yAlign="inline"/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77FE65C5">
      <w:pPr>
        <w:framePr w:wrap="auto" w:vAnchor="margin" w:hAnchor="text" w:yAlign="inline"/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三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、商务要求</w:t>
      </w:r>
    </w:p>
    <w:p w14:paraId="167BC47B">
      <w:pPr>
        <w:framePr w:wrap="auto" w:vAnchor="margin" w:hAnchor="text" w:yAlign="inline"/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1.时间要求:中标供应商应在接到送货通知后7天内完成设备的交付，并在15天内完成安装调试。</w:t>
      </w:r>
    </w:p>
    <w:p w14:paraId="45BF7AD0">
      <w:pPr>
        <w:framePr w:wrap="auto" w:vAnchor="margin" w:hAnchor="text" w:yAlign="inline"/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2.地点要求:交货地点院方指定地点。</w:t>
      </w:r>
    </w:p>
    <w:p w14:paraId="76014580">
      <w:pPr>
        <w:framePr w:wrap="auto" w:vAnchor="margin" w:hAnchor="text" w:yAlign="inline"/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3.包装与运输:设备需采用防震包装，确保运输过程中的安全。运输费用由供应商承担，运输途中的一切风险由供应商负责。</w:t>
      </w:r>
    </w:p>
    <w:p w14:paraId="285083B9">
      <w:pPr>
        <w:framePr w:wrap="auto" w:vAnchor="margin" w:hAnchor="text" w:yAlign="inline"/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4.需遵守医院供应商管理规定（规定详见医院官网-采购公告置顶内容）</w:t>
      </w:r>
    </w:p>
    <w:p w14:paraId="111A4AB6">
      <w:pPr>
        <w:framePr w:wrap="auto" w:vAnchor="margin" w:hAnchor="text" w:yAlign="inline"/>
        <w:spacing w:line="240" w:lineRule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br w:type="page"/>
      </w:r>
    </w:p>
    <w:p w14:paraId="1599BF5D">
      <w:pPr>
        <w:framePr w:wrap="auto" w:vAnchor="margin" w:hAnchor="text" w:yAlign="inline"/>
        <w:spacing w:line="240" w:lineRule="auto"/>
        <w:rPr>
          <w:rFonts w:hint="eastAsia" w:ascii="宋体" w:hAnsi="宋体" w:eastAsia="宋体" w:cs="宋体"/>
          <w:sz w:val="24"/>
          <w:szCs w:val="24"/>
          <w:lang w:val="en-US"/>
        </w:rPr>
      </w:pPr>
    </w:p>
    <w:sectPr>
      <w:headerReference r:id="rId5" w:type="default"/>
      <w:footerReference r:id="rId6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E210F">
    <w:pPr>
      <w:pStyle w:val="6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57C79">
    <w:pPr>
      <w:pStyle w:val="6"/>
      <w:framePr w:wrap="auto" w:vAnchor="margin" w:hAnchor="text" w:yAlign="inline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D8925F"/>
    <w:multiLevelType w:val="singleLevel"/>
    <w:tmpl w:val="3DD8925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isplayBackgroundShape w:val="1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rsids>
    <w:rsidRoot w:val="00000000"/>
    <w:rsid w:val="4EFE743B"/>
    <w:rsid w:val="74980C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60" w:afterAutospacing="0" w:line="278" w:lineRule="auto"/>
      <w:ind w:left="0" w:right="0" w:firstLine="0"/>
      <w:jc w:val="left"/>
      <w:outlineLvl w:val="9"/>
    </w:pPr>
    <w:rPr>
      <w:rFonts w:ascii="等线" w:hAnsi="等线" w:eastAsia="等线" w:cs="等线"/>
      <w:color w:val="000000"/>
      <w:spacing w:val="0"/>
      <w:w w:val="100"/>
      <w:kern w:val="2"/>
      <w:position w:val="0"/>
      <w:sz w:val="22"/>
      <w:szCs w:val="22"/>
      <w:u w:val="none" w:color="000000"/>
      <w:shd w:val="clear" w:color="auto" w:fill="auto"/>
      <w:vertAlign w:val="baseline"/>
      <w:lang w:val="en-US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u w:val="single"/>
    </w:rPr>
  </w:style>
  <w:style w:type="table" w:customStyle="1" w:styleId="5">
    <w:name w:val="Table Normal"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与页脚"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Regular" w:hAnsi="PingFang SC Regular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983</Words>
  <Characters>1111</Characters>
  <TotalTime>10</TotalTime>
  <ScaleCrop>false</ScaleCrop>
  <LinksUpToDate>false</LinksUpToDate>
  <CharactersWithSpaces>1131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2026-06-30T02:11:00Z</dcterms:created>
  <dc:creator>Administrator</dc:creator>
  <cp:lastModifiedBy>Zhou</cp:lastModifiedBy>
  <cp:lastPrinted>2026-06-30T02:44:25Z</cp:lastPrinted>
  <dcterms:modified xsi:type="dcterms:W3CDTF">2026-06-30T02:53:40Z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eyJoZGlkIjoiZTFiM2EyNGE3MjNjMjNhZDJjODg2M2NlYzc0MDIxZmUiLCJ1c2VySWQiOiIxNjU3NTQxMjg3In0=</vt:lpwstr>
  </property>
  <property fmtid="{D5CDD505-2E9C-101B-9397-08002B2CF9AE}" pid="3" name="KSOProductBuildVer">
    <vt:lpwstr>2052-12.1.0.26895</vt:lpwstr>
  </property>
  <property fmtid="{D5CDD505-2E9C-101B-9397-08002B2CF9AE}" pid="4" name="ICV">
    <vt:lpwstr>BCC7C7EAA6784D89BA72DDE168007226_12</vt:lpwstr>
  </property>
</Properties>
</file>