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C1B264">
      <w:pPr>
        <w:rPr>
          <w:rFonts w:hint="eastAsia" w:ascii="宋体" w:hAnsi="宋体" w:eastAsia="宋体" w:cs="宋体"/>
          <w:b/>
          <w:bCs/>
          <w:sz w:val="28"/>
          <w:szCs w:val="36"/>
        </w:rPr>
      </w:pPr>
      <w:r>
        <w:rPr>
          <w:rFonts w:hint="eastAsia" w:ascii="宋体" w:hAnsi="宋体" w:eastAsia="宋体" w:cs="宋体"/>
          <w:b/>
          <w:bCs/>
          <w:sz w:val="28"/>
          <w:szCs w:val="36"/>
        </w:rPr>
        <w:t>﹣20度冰箱</w:t>
      </w:r>
    </w:p>
    <w:p w14:paraId="465F6818">
      <w:pPr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一、采购需求</w:t>
      </w:r>
    </w:p>
    <w:p w14:paraId="474921E7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1、样式：立式，双门。</w:t>
      </w:r>
    </w:p>
    <w:p w14:paraId="5E31B910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2、容积(L)：≥450。</w:t>
      </w:r>
    </w:p>
    <w:p w14:paraId="19B9D45D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3、外部尺寸（宽*深*高mm）：≤860*800*1960（外挂锁+门把手）。</w:t>
      </w:r>
    </w:p>
    <w:p w14:paraId="27E6A84B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4、内部尺寸（宽*深*高mm）：≥655*565*615。</w:t>
      </w:r>
    </w:p>
    <w:p w14:paraId="158A4B20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5、箱体材料：PCM彩板材质或更优。内胆材料：HIPS材质或更优。保温材料：无CFC聚氨酯发泡。</w:t>
      </w:r>
    </w:p>
    <w:p w14:paraId="17B31716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6、核心部件：配置高效压缩机，风扇电机，碳氢环保制冷剂。</w:t>
      </w:r>
    </w:p>
    <w:p w14:paraId="61AEBF73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▲7、保温技术：配置超厚保温层，箱体发泡层厚度≥80mm。</w:t>
      </w:r>
    </w:p>
    <w:p w14:paraId="58D5F744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▲8、制冷系统：配置丝管式冷凝器，丝管式蒸发器，制冷迅速。</w:t>
      </w:r>
    </w:p>
    <w:p w14:paraId="0D2EB04E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▲9、温度控制：高精度微电脑温度控制系统，箱内控温范围-10~-25℃，控制精度≤0.1℃；双压缩机双系统，上室、下室为独立腔室，可独立控温。</w:t>
      </w:r>
    </w:p>
    <w:p w14:paraId="683AC43C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▲10、低噪设计：噪声≤50dB，可提供第三方检测报告支持。</w:t>
      </w:r>
    </w:p>
    <w:p w14:paraId="14F55BAF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▲11、节能设计：耗电量≤2kWh/24h/（25℃环温），可提供第三方检测报告支持。</w:t>
      </w:r>
    </w:p>
    <w:p w14:paraId="1CBB4CA1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▲12、温度波动度≤2℃，可提供第三方检测报告支持。</w:t>
      </w:r>
    </w:p>
    <w:p w14:paraId="226574A0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▲13、温度均匀度≤1.5℃，可提供第三方检测报告支持。</w:t>
      </w:r>
    </w:p>
    <w:p w14:paraId="457DBD3B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▲14、报警功能：具备完善的声光报警（蜂鸣报警、灯光闪烁等）方式，具有环温高温报警、高温报警、低温报警、传感器故障报警、断电报警、低电量报警、数据通讯故障、开门报警、记录仪未连接/未启动报警等多种报警功能。</w:t>
      </w:r>
    </w:p>
    <w:p w14:paraId="62E20513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15、数据存储：配置USB模块，可选择快捷或手动导出，默认快捷导出未导出过的数据，手动导出为1~12个月可选。温度数据记录周期1~240分钟可调，默认10分钟。</w:t>
      </w:r>
    </w:p>
    <w:p w14:paraId="479D6D3D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▲16、箱内配置：上下双室共6层≥12个抽屉，搁架式蒸发器设计，快速制冷。</w:t>
      </w:r>
    </w:p>
    <w:p w14:paraId="462F8CA5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17、固定移动：配备4个万向脚轮，且具备止刹功能</w:t>
      </w:r>
    </w:p>
    <w:p w14:paraId="7F3DB5A2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18、测试孔：整机配备≥2个测试孔（上下室各≥1个）。</w:t>
      </w:r>
    </w:p>
    <w:p w14:paraId="2C7801A4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▲19、便捷开门：上下室独立明把手设计。</w:t>
      </w:r>
    </w:p>
    <w:p w14:paraId="5169A936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20、多重保护：开机延时保护、停机间隔保护、显示面板保护、断电记忆数据保护、传感器故障保护运行。</w:t>
      </w:r>
    </w:p>
    <w:p w14:paraId="3F47E414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21、可选配RS-485、远程报警接口、热敏/针式打印机。</w:t>
      </w:r>
    </w:p>
    <w:p w14:paraId="56C5DDB1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22、多人管理：门体自带机械锁，一锁可锁上下门，且配置外挂锁。</w:t>
      </w:r>
    </w:p>
    <w:p w14:paraId="5DD4BC3B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23、断电报警：具备后备电池，满足断电后报警并继续显示箱内温度48小时需求。</w:t>
      </w:r>
    </w:p>
    <w:p w14:paraId="794A5059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24、配置：主机1台，抽屉≥12个，出厂检测报告1份</w:t>
      </w:r>
    </w:p>
    <w:p w14:paraId="5313AED9">
      <w:pPr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val="en-US" w:eastAsia="zh-CN"/>
        </w:rPr>
        <w:t>25.</w:t>
      </w:r>
      <w:bookmarkStart w:id="0" w:name="_GoBack"/>
      <w:bookmarkEnd w:id="0"/>
      <w:r>
        <w:rPr>
          <w:rFonts w:hint="eastAsia" w:ascii="宋体" w:hAnsi="宋体" w:eastAsia="宋体" w:cs="宋体"/>
        </w:rPr>
        <w:t>交货前需提供机身序列号经生产厂家证明确认</w:t>
      </w:r>
      <w:r>
        <w:rPr>
          <w:rFonts w:hint="eastAsia" w:ascii="宋体" w:hAnsi="宋体" w:eastAsia="宋体" w:cs="宋体"/>
          <w:lang w:eastAsia="zh-CN"/>
        </w:rPr>
        <w:t>。</w:t>
      </w:r>
    </w:p>
    <w:p w14:paraId="07260C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sz w:val="21"/>
          <w:szCs w:val="21"/>
          <w:lang w:val="en-US" w:eastAsia="zh-CN"/>
        </w:rPr>
        <w:t>三、服务要求</w:t>
      </w:r>
    </w:p>
    <w:p w14:paraId="30D95E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>1.提供原厂送货、安装和调试服务，确保产品正确安装并能正常使用。</w:t>
      </w:r>
    </w:p>
    <w:p w14:paraId="1591D2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>2.提供操作培训，使科室工作人员能够熟练掌握产品的使用方法。</w:t>
      </w:r>
    </w:p>
    <w:p w14:paraId="0BB462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>3.提供≥5年的免费保修期，在此期间内非人为损坏由供应商负责免费维修或更换。</w:t>
      </w:r>
    </w:p>
    <w:p w14:paraId="7FBFE2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sz w:val="21"/>
          <w:szCs w:val="21"/>
          <w:lang w:val="en-US" w:eastAsia="zh-CN"/>
        </w:rPr>
        <w:t>四、商务要求</w:t>
      </w:r>
    </w:p>
    <w:p w14:paraId="29634C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>1.时间要求:中标供应商应在接到送货通知后7天内完成设备的交付，并在15天内完成安装调试。</w:t>
      </w:r>
    </w:p>
    <w:p w14:paraId="2AB97B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>2.地点要求:交货地点院方指定地点。</w:t>
      </w:r>
    </w:p>
    <w:p w14:paraId="734A0A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>3.包装与运输:设备需采用防震包装，确保运输过程中的安全。运输费用由供应商承担，运输途中的一切风险由供应商负责。</w:t>
      </w:r>
    </w:p>
    <w:p w14:paraId="5E4E49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>4.需遵守医院供应商管理规定（规定详见医院官网-采购公告置顶内容）</w:t>
      </w:r>
    </w:p>
    <w:p w14:paraId="258C072F">
      <w:pPr>
        <w:rPr>
          <w:rFonts w:hint="eastAsia" w:ascii="宋体" w:hAnsi="宋体" w:eastAsia="宋体" w:cs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7F" w:usb3="00000000" w:csb0="203F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641D0B"/>
    <w:rsid w:val="64641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800</Words>
  <Characters>893</Characters>
  <Lines>0</Lines>
  <Paragraphs>0</Paragraphs>
  <TotalTime>1</TotalTime>
  <ScaleCrop>false</ScaleCrop>
  <LinksUpToDate>false</LinksUpToDate>
  <CharactersWithSpaces>893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2026-07-09T03:24:00Z</dcterms:created>
  <dc:creator>Zhou</dc:creator>
  <cp:lastModifiedBy>Zhou</cp:lastModifiedBy>
  <dcterms:modified xsi:type="dcterms:W3CDTF">2026-07-09T03:28:50Z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68087EBA7D764A6FAA64AA6C3D3AD714_11</vt:lpwstr>
  </property>
  <property fmtid="{D5CDD505-2E9C-101B-9397-08002B2CF9AE}" pid="4" name="KSOTemplateDocerSaveRecord">
    <vt:lpwstr>eyJoZGlkIjoiZTFiM2EyNGE3MjNjMjNhZDJjODg2M2NlYzc0MDIxZmUiLCJ1c2VySWQiOiIxNjU3NTQxMjg3In0=</vt:lpwstr>
  </property>
</Properties>
</file>